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C49E5" w14:textId="6025E518" w:rsidR="002A352A" w:rsidRPr="00717F15" w:rsidRDefault="00791B19" w:rsidP="00030627">
      <w:pPr>
        <w:pStyle w:val="Heading1"/>
        <w:spacing w:after="4440"/>
        <w:jc w:val="center"/>
        <w:rPr>
          <w:rFonts w:ascii="Calibri" w:hAnsi="Calibri"/>
          <w:color w:val="auto"/>
        </w:rPr>
      </w:pPr>
      <w:bookmarkStart w:id="0" w:name="_GoBack"/>
      <w:bookmarkEnd w:id="0"/>
      <w:r w:rsidRPr="00717F15">
        <w:rPr>
          <w:rFonts w:ascii="Calibri" w:hAnsi="Calibri"/>
          <w:color w:val="auto"/>
        </w:rPr>
        <w:t>Oral Health</w:t>
      </w:r>
      <w:r w:rsidR="00D30A34">
        <w:rPr>
          <w:rFonts w:ascii="Calibri" w:hAnsi="Calibri"/>
          <w:color w:val="auto"/>
        </w:rPr>
        <w:t xml:space="preserve"> and It</w:t>
      </w:r>
      <w:r w:rsidRPr="00717F15">
        <w:rPr>
          <w:rFonts w:ascii="Calibri" w:hAnsi="Calibri"/>
          <w:color w:val="auto"/>
        </w:rPr>
        <w:t xml:space="preserve">s </w:t>
      </w:r>
      <w:r w:rsidR="00030627">
        <w:rPr>
          <w:rFonts w:ascii="Calibri" w:hAnsi="Calibri"/>
          <w:color w:val="auto"/>
        </w:rPr>
        <w:t xml:space="preserve">Impact on </w:t>
      </w:r>
      <w:r w:rsidR="00FB557E" w:rsidRPr="00717F15">
        <w:rPr>
          <w:rFonts w:ascii="Calibri" w:hAnsi="Calibri"/>
          <w:color w:val="auto"/>
        </w:rPr>
        <w:t xml:space="preserve">Adults </w:t>
      </w:r>
      <w:r w:rsidR="00030627">
        <w:rPr>
          <w:rFonts w:ascii="Calibri" w:hAnsi="Calibri"/>
          <w:color w:val="auto"/>
        </w:rPr>
        <w:t xml:space="preserve">who are Older or </w:t>
      </w:r>
      <w:r w:rsidR="004F6362" w:rsidRPr="00717F15">
        <w:rPr>
          <w:rFonts w:ascii="Calibri" w:hAnsi="Calibri"/>
          <w:color w:val="auto"/>
        </w:rPr>
        <w:t>Have Disabilities</w:t>
      </w:r>
    </w:p>
    <w:p w14:paraId="13B71544" w14:textId="77777777" w:rsidR="002A352A" w:rsidRPr="00777326" w:rsidRDefault="002A352A" w:rsidP="00030627">
      <w:pPr>
        <w:spacing w:after="0" w:line="240" w:lineRule="auto"/>
        <w:jc w:val="center"/>
        <w:rPr>
          <w:rFonts w:cs="Arial"/>
          <w:bCs/>
          <w:iCs/>
          <w:sz w:val="24"/>
          <w:szCs w:val="24"/>
        </w:rPr>
      </w:pPr>
      <w:r w:rsidRPr="00777326">
        <w:rPr>
          <w:rFonts w:cs="Arial"/>
          <w:bCs/>
          <w:iCs/>
          <w:sz w:val="24"/>
          <w:szCs w:val="24"/>
        </w:rPr>
        <w:t xml:space="preserve">Jane Tilly, </w:t>
      </w:r>
      <w:proofErr w:type="spellStart"/>
      <w:r w:rsidRPr="00777326">
        <w:rPr>
          <w:rFonts w:cs="Arial"/>
          <w:bCs/>
          <w:iCs/>
          <w:sz w:val="24"/>
          <w:szCs w:val="24"/>
        </w:rPr>
        <w:t>DrPH</w:t>
      </w:r>
      <w:proofErr w:type="spellEnd"/>
    </w:p>
    <w:p w14:paraId="71B79DC1" w14:textId="77777777" w:rsidR="002A352A" w:rsidRPr="00777326" w:rsidRDefault="002A352A" w:rsidP="00030627">
      <w:pPr>
        <w:spacing w:after="0" w:line="240" w:lineRule="auto"/>
        <w:jc w:val="center"/>
        <w:rPr>
          <w:rFonts w:cs="Arial"/>
          <w:bCs/>
          <w:iCs/>
          <w:sz w:val="24"/>
          <w:szCs w:val="24"/>
        </w:rPr>
      </w:pPr>
      <w:r w:rsidRPr="00777326">
        <w:rPr>
          <w:rFonts w:cs="Arial"/>
          <w:bCs/>
          <w:iCs/>
          <w:sz w:val="24"/>
          <w:szCs w:val="24"/>
        </w:rPr>
        <w:t>Center for Policy and Evaluation</w:t>
      </w:r>
    </w:p>
    <w:p w14:paraId="2C2BDCF7" w14:textId="77777777" w:rsidR="002A352A" w:rsidRPr="00777326" w:rsidRDefault="002A352A" w:rsidP="00030627">
      <w:pPr>
        <w:spacing w:after="0" w:line="240" w:lineRule="auto"/>
        <w:jc w:val="center"/>
        <w:rPr>
          <w:rFonts w:cs="Arial"/>
          <w:bCs/>
          <w:iCs/>
          <w:sz w:val="24"/>
          <w:szCs w:val="24"/>
        </w:rPr>
      </w:pPr>
      <w:r w:rsidRPr="00777326">
        <w:rPr>
          <w:rFonts w:cs="Arial"/>
          <w:bCs/>
          <w:iCs/>
          <w:sz w:val="24"/>
          <w:szCs w:val="24"/>
        </w:rPr>
        <w:t>Administration for Community Living</w:t>
      </w:r>
    </w:p>
    <w:p w14:paraId="29C8C048" w14:textId="665224E5" w:rsidR="002A352A" w:rsidRPr="00777326" w:rsidRDefault="00A9742D" w:rsidP="00030627">
      <w:pPr>
        <w:spacing w:after="5040" w:line="240" w:lineRule="auto"/>
        <w:jc w:val="center"/>
        <w:rPr>
          <w:rFonts w:cs="Arial"/>
          <w:bCs/>
          <w:iCs/>
          <w:sz w:val="28"/>
          <w:szCs w:val="28"/>
        </w:rPr>
      </w:pPr>
      <w:r w:rsidRPr="00777326">
        <w:rPr>
          <w:rFonts w:cs="Arial"/>
          <w:bCs/>
          <w:iCs/>
          <w:sz w:val="24"/>
          <w:szCs w:val="24"/>
        </w:rPr>
        <w:t>October</w:t>
      </w:r>
      <w:r w:rsidR="002A352A" w:rsidRPr="00777326">
        <w:rPr>
          <w:rFonts w:cs="Arial"/>
          <w:bCs/>
          <w:iCs/>
          <w:sz w:val="24"/>
          <w:szCs w:val="24"/>
        </w:rPr>
        <w:t>, 2016</w:t>
      </w:r>
    </w:p>
    <w:p w14:paraId="72D71C34" w14:textId="33E40519" w:rsidR="002A352A" w:rsidRPr="003D1EDE" w:rsidRDefault="002A352A" w:rsidP="00A214FF">
      <w:pPr>
        <w:spacing w:line="240" w:lineRule="auto"/>
        <w:rPr>
          <w:rFonts w:cs="Arial"/>
          <w:b/>
          <w:bCs/>
          <w:iCs/>
          <w:sz w:val="24"/>
          <w:szCs w:val="24"/>
        </w:rPr>
      </w:pPr>
      <w:r w:rsidRPr="003D1EDE">
        <w:rPr>
          <w:rFonts w:ascii="Calibri" w:hAnsi="Calibri" w:cs="Calibri"/>
          <w:i/>
          <w:iCs/>
          <w:color w:val="000000"/>
          <w:sz w:val="24"/>
          <w:szCs w:val="24"/>
        </w:rPr>
        <w:t xml:space="preserve">The views expressed in this paper are those of the author and not necessarily those of the Administration for Community Living or the U.S. Department of Health and Human Services. </w:t>
      </w:r>
      <w:r w:rsidRPr="003D1EDE">
        <w:rPr>
          <w:rFonts w:cs="Arial"/>
          <w:b/>
          <w:bCs/>
          <w:iCs/>
          <w:sz w:val="24"/>
          <w:szCs w:val="24"/>
        </w:rPr>
        <w:br w:type="page"/>
      </w:r>
    </w:p>
    <w:p w14:paraId="3C9F69FC" w14:textId="4B2A4B80" w:rsidR="00717F15" w:rsidRPr="0037240B" w:rsidRDefault="00D30A34" w:rsidP="0037240B">
      <w:pPr>
        <w:pStyle w:val="Heading1"/>
        <w:spacing w:after="600"/>
        <w:jc w:val="center"/>
        <w:rPr>
          <w:rFonts w:ascii="Calibri" w:hAnsi="Calibri"/>
        </w:rPr>
      </w:pPr>
      <w:r>
        <w:rPr>
          <w:rFonts w:ascii="Calibri" w:hAnsi="Calibri"/>
          <w:color w:val="auto"/>
        </w:rPr>
        <w:lastRenderedPageBreak/>
        <w:t>Oral Health and Its</w:t>
      </w:r>
      <w:r w:rsidR="004F6362" w:rsidRPr="0037240B">
        <w:rPr>
          <w:rFonts w:ascii="Calibri" w:hAnsi="Calibri"/>
          <w:color w:val="auto"/>
        </w:rPr>
        <w:t xml:space="preserve"> </w:t>
      </w:r>
      <w:r w:rsidR="0037240B" w:rsidRPr="0037240B">
        <w:rPr>
          <w:rFonts w:ascii="Calibri" w:hAnsi="Calibri"/>
          <w:color w:val="auto"/>
        </w:rPr>
        <w:t xml:space="preserve">Impact on </w:t>
      </w:r>
      <w:r w:rsidR="00FB557E" w:rsidRPr="0037240B">
        <w:rPr>
          <w:rFonts w:ascii="Calibri" w:hAnsi="Calibri"/>
          <w:color w:val="auto"/>
        </w:rPr>
        <w:t xml:space="preserve">Adults </w:t>
      </w:r>
      <w:r w:rsidR="0037240B" w:rsidRPr="0037240B">
        <w:rPr>
          <w:rFonts w:ascii="Calibri" w:hAnsi="Calibri"/>
          <w:color w:val="auto"/>
        </w:rPr>
        <w:t xml:space="preserve">who are Older or </w:t>
      </w:r>
      <w:r w:rsidR="004F6362" w:rsidRPr="0037240B">
        <w:rPr>
          <w:rFonts w:ascii="Calibri" w:hAnsi="Calibri"/>
          <w:color w:val="auto"/>
        </w:rPr>
        <w:t>Have Disabilities</w:t>
      </w:r>
    </w:p>
    <w:p w14:paraId="24D989A7" w14:textId="77777777" w:rsidR="00A214FF" w:rsidRPr="0037240B" w:rsidRDefault="00A214FF" w:rsidP="0037240B">
      <w:pPr>
        <w:pStyle w:val="Heading1"/>
        <w:jc w:val="center"/>
        <w:rPr>
          <w:rFonts w:asciiTheme="minorHAnsi" w:hAnsiTheme="minorHAnsi"/>
          <w:color w:val="auto"/>
          <w:sz w:val="24"/>
          <w:szCs w:val="24"/>
        </w:rPr>
      </w:pPr>
      <w:r w:rsidRPr="0037240B">
        <w:rPr>
          <w:rFonts w:asciiTheme="minorHAnsi" w:hAnsiTheme="minorHAnsi"/>
          <w:color w:val="auto"/>
          <w:sz w:val="24"/>
          <w:szCs w:val="24"/>
        </w:rPr>
        <w:t>Executive Summary</w:t>
      </w:r>
    </w:p>
    <w:p w14:paraId="48829D7D" w14:textId="53B6EA87" w:rsidR="00CC400C" w:rsidRPr="00777326" w:rsidRDefault="00CC400C" w:rsidP="00CC400C">
      <w:pPr>
        <w:autoSpaceDE w:val="0"/>
        <w:autoSpaceDN w:val="0"/>
        <w:adjustRightInd w:val="0"/>
        <w:spacing w:after="0" w:line="240" w:lineRule="auto"/>
        <w:rPr>
          <w:rFonts w:cs="Arial"/>
        </w:rPr>
      </w:pPr>
      <w:r w:rsidRPr="00777326">
        <w:rPr>
          <w:rFonts w:cs="Arial"/>
          <w:color w:val="000000"/>
        </w:rPr>
        <w:t>The 2016 Older Americans Act Reauthorization add</w:t>
      </w:r>
      <w:r w:rsidR="00EA2CF2">
        <w:rPr>
          <w:rFonts w:cs="Arial"/>
          <w:color w:val="000000"/>
        </w:rPr>
        <w:t>ed</w:t>
      </w:r>
      <w:r w:rsidRPr="00777326">
        <w:rPr>
          <w:rFonts w:cs="Arial"/>
          <w:color w:val="000000"/>
        </w:rPr>
        <w:t xml:space="preserve"> oral health to the</w:t>
      </w:r>
      <w:r w:rsidR="005874A2" w:rsidRPr="00777326">
        <w:rPr>
          <w:rFonts w:cs="Arial"/>
          <w:color w:val="000000"/>
        </w:rPr>
        <w:t xml:space="preserve"> list of its </w:t>
      </w:r>
      <w:r w:rsidRPr="00777326">
        <w:rPr>
          <w:rFonts w:cs="Arial"/>
          <w:color w:val="000000"/>
        </w:rPr>
        <w:t>disease prevention and health p</w:t>
      </w:r>
      <w:r w:rsidR="00E14F32" w:rsidRPr="00777326">
        <w:rPr>
          <w:rFonts w:cs="Arial"/>
          <w:color w:val="000000"/>
        </w:rPr>
        <w:t xml:space="preserve">romotion services.  </w:t>
      </w:r>
      <w:r w:rsidRPr="00777326">
        <w:rPr>
          <w:rFonts w:cs="Arial"/>
        </w:rPr>
        <w:t xml:space="preserve">This </w:t>
      </w:r>
      <w:r w:rsidR="001257B8" w:rsidRPr="00777326">
        <w:rPr>
          <w:rFonts w:cs="Arial"/>
        </w:rPr>
        <w:t xml:space="preserve">action </w:t>
      </w:r>
      <w:r w:rsidRPr="00777326">
        <w:rPr>
          <w:rFonts w:cs="Arial"/>
        </w:rPr>
        <w:t>highlights policymakers’ emphasis on oral health as a crucial component of the health and wellness of older adults.</w:t>
      </w:r>
      <w:r w:rsidR="00E14F32" w:rsidRPr="00777326">
        <w:rPr>
          <w:rFonts w:cs="Arial"/>
        </w:rPr>
        <w:t xml:space="preserve">  </w:t>
      </w:r>
      <w:r w:rsidRPr="00777326">
        <w:rPr>
          <w:rFonts w:cs="Arial"/>
        </w:rPr>
        <w:t>Likewise</w:t>
      </w:r>
      <w:r w:rsidR="00662145" w:rsidRPr="00777326">
        <w:rPr>
          <w:rFonts w:cs="Arial"/>
        </w:rPr>
        <w:t>,</w:t>
      </w:r>
      <w:r w:rsidRPr="00777326">
        <w:rPr>
          <w:rFonts w:cs="Arial"/>
        </w:rPr>
        <w:t xml:space="preserve"> younger adults with disabilities need access to </w:t>
      </w:r>
      <w:r w:rsidR="00E1756A" w:rsidRPr="00777326">
        <w:rPr>
          <w:rFonts w:cs="Arial"/>
        </w:rPr>
        <w:t>oral health</w:t>
      </w:r>
      <w:r w:rsidR="00AB1382" w:rsidRPr="00777326">
        <w:rPr>
          <w:rFonts w:cs="Arial"/>
        </w:rPr>
        <w:t xml:space="preserve"> and b</w:t>
      </w:r>
      <w:r w:rsidRPr="00777326">
        <w:rPr>
          <w:rFonts w:cs="Arial"/>
        </w:rPr>
        <w:t xml:space="preserve">oth groups </w:t>
      </w:r>
      <w:r w:rsidR="00AB1382" w:rsidRPr="00777326">
        <w:rPr>
          <w:rFonts w:cs="Arial"/>
        </w:rPr>
        <w:t xml:space="preserve">could </w:t>
      </w:r>
      <w:r w:rsidRPr="00777326">
        <w:rPr>
          <w:rFonts w:cs="Arial"/>
        </w:rPr>
        <w:t xml:space="preserve">benefit from </w:t>
      </w:r>
      <w:r w:rsidR="002A02B7" w:rsidRPr="00777326">
        <w:rPr>
          <w:rFonts w:cs="Arial"/>
        </w:rPr>
        <w:t>re</w:t>
      </w:r>
      <w:r w:rsidR="00EA2CF2">
        <w:rPr>
          <w:rFonts w:cs="Arial"/>
        </w:rPr>
        <w:t>ceiving such</w:t>
      </w:r>
      <w:r w:rsidR="002A02B7" w:rsidRPr="00777326">
        <w:rPr>
          <w:rFonts w:cs="Arial"/>
        </w:rPr>
        <w:t xml:space="preserve"> services</w:t>
      </w:r>
      <w:r w:rsidRPr="00777326">
        <w:rPr>
          <w:rFonts w:cs="Arial"/>
        </w:rPr>
        <w:t>.</w:t>
      </w:r>
    </w:p>
    <w:p w14:paraId="55E0ABBC" w14:textId="77777777" w:rsidR="00CC400C" w:rsidRPr="00777326" w:rsidRDefault="00CC400C" w:rsidP="00CC400C">
      <w:pPr>
        <w:autoSpaceDE w:val="0"/>
        <w:autoSpaceDN w:val="0"/>
        <w:adjustRightInd w:val="0"/>
        <w:spacing w:after="0" w:line="240" w:lineRule="auto"/>
        <w:rPr>
          <w:rFonts w:cs="Arial"/>
        </w:rPr>
      </w:pPr>
    </w:p>
    <w:p w14:paraId="272937A5" w14:textId="41C7A7D8" w:rsidR="00A214FF" w:rsidRPr="00777326" w:rsidRDefault="00AB20F9" w:rsidP="00CC400C">
      <w:pPr>
        <w:autoSpaceDE w:val="0"/>
        <w:autoSpaceDN w:val="0"/>
        <w:adjustRightInd w:val="0"/>
        <w:spacing w:after="0" w:line="240" w:lineRule="auto"/>
        <w:rPr>
          <w:rFonts w:cs="Arial"/>
          <w:bCs/>
          <w:iCs/>
        </w:rPr>
      </w:pPr>
      <w:r w:rsidRPr="00777326">
        <w:rPr>
          <w:rFonts w:cs="Arial"/>
        </w:rPr>
        <w:t>R</w:t>
      </w:r>
      <w:r w:rsidR="00A214FF" w:rsidRPr="00777326">
        <w:rPr>
          <w:rFonts w:cs="Arial"/>
          <w:bCs/>
          <w:iCs/>
        </w:rPr>
        <w:t>esearch literature</w:t>
      </w:r>
      <w:r w:rsidR="00E9522A" w:rsidRPr="00777326">
        <w:rPr>
          <w:rFonts w:cs="Arial"/>
          <w:bCs/>
          <w:iCs/>
        </w:rPr>
        <w:t xml:space="preserve"> documents</w:t>
      </w:r>
      <w:r w:rsidR="00A214FF" w:rsidRPr="00777326">
        <w:rPr>
          <w:rFonts w:cs="Arial"/>
          <w:bCs/>
          <w:iCs/>
        </w:rPr>
        <w:t xml:space="preserve"> that a person’s overall health </w:t>
      </w:r>
      <w:r w:rsidR="00484F5D" w:rsidRPr="00777326">
        <w:rPr>
          <w:rFonts w:cs="Arial"/>
          <w:bCs/>
          <w:iCs/>
        </w:rPr>
        <w:t xml:space="preserve">is related to </w:t>
      </w:r>
      <w:r w:rsidR="00E9522A" w:rsidRPr="00777326">
        <w:rPr>
          <w:rFonts w:cs="Arial"/>
          <w:bCs/>
          <w:iCs/>
        </w:rPr>
        <w:t>their oral health.  This happens because a person’s</w:t>
      </w:r>
      <w:r w:rsidR="00A214FF" w:rsidRPr="00777326">
        <w:rPr>
          <w:rFonts w:cs="Arial"/>
          <w:bCs/>
          <w:iCs/>
        </w:rPr>
        <w:t xml:space="preserve"> mouth is the gateway to the</w:t>
      </w:r>
      <w:r w:rsidR="00E9522A" w:rsidRPr="00777326">
        <w:rPr>
          <w:rFonts w:cs="Arial"/>
          <w:bCs/>
          <w:iCs/>
        </w:rPr>
        <w:t>ir</w:t>
      </w:r>
      <w:r w:rsidR="00A214FF" w:rsidRPr="00777326">
        <w:rPr>
          <w:rFonts w:cs="Arial"/>
          <w:bCs/>
          <w:iCs/>
        </w:rPr>
        <w:t xml:space="preserve"> gastrointestinal tract and the rest of </w:t>
      </w:r>
      <w:r w:rsidR="00E9522A" w:rsidRPr="00777326">
        <w:rPr>
          <w:rFonts w:cs="Arial"/>
          <w:bCs/>
          <w:iCs/>
        </w:rPr>
        <w:t>their</w:t>
      </w:r>
      <w:r w:rsidR="00A214FF" w:rsidRPr="00777326">
        <w:rPr>
          <w:rFonts w:cs="Arial"/>
          <w:bCs/>
          <w:iCs/>
        </w:rPr>
        <w:t xml:space="preserve"> body.</w:t>
      </w:r>
      <w:r w:rsidR="00E14F32" w:rsidRPr="00777326">
        <w:rPr>
          <w:rFonts w:cs="Arial"/>
          <w:bCs/>
          <w:iCs/>
        </w:rPr>
        <w:t xml:space="preserve"> </w:t>
      </w:r>
      <w:r w:rsidR="00A214FF" w:rsidRPr="00777326">
        <w:rPr>
          <w:rFonts w:cs="Arial"/>
          <w:bCs/>
          <w:iCs/>
        </w:rPr>
        <w:t xml:space="preserve"> P</w:t>
      </w:r>
      <w:r w:rsidR="00AB1382" w:rsidRPr="00777326">
        <w:rPr>
          <w:rFonts w:cs="Arial"/>
          <w:bCs/>
          <w:iCs/>
        </w:rPr>
        <w:t>oor oral health is largely preventable and linked to</w:t>
      </w:r>
      <w:r w:rsidR="00A214FF" w:rsidRPr="00777326">
        <w:rPr>
          <w:rFonts w:cs="Arial"/>
          <w:bCs/>
          <w:iCs/>
        </w:rPr>
        <w:t xml:space="preserve"> chronic diseases, such as heart disease</w:t>
      </w:r>
      <w:r w:rsidR="005874A2" w:rsidRPr="00777326">
        <w:rPr>
          <w:rFonts w:cs="Arial"/>
          <w:bCs/>
          <w:iCs/>
        </w:rPr>
        <w:t>,</w:t>
      </w:r>
      <w:r w:rsidR="00A214FF" w:rsidRPr="00777326">
        <w:rPr>
          <w:rFonts w:cs="Arial"/>
          <w:bCs/>
          <w:iCs/>
        </w:rPr>
        <w:t xml:space="preserve"> stroke</w:t>
      </w:r>
      <w:r w:rsidR="005874A2" w:rsidRPr="00777326">
        <w:rPr>
          <w:rFonts w:cs="Arial"/>
          <w:bCs/>
          <w:iCs/>
        </w:rPr>
        <w:t>, and diabetes</w:t>
      </w:r>
      <w:r w:rsidR="00A214FF" w:rsidRPr="00777326">
        <w:rPr>
          <w:rFonts w:cs="Arial"/>
          <w:bCs/>
          <w:iCs/>
        </w:rPr>
        <w:t xml:space="preserve">.  Older adults and adults with disabilities are at </w:t>
      </w:r>
      <w:r w:rsidR="00766094" w:rsidRPr="00777326">
        <w:rPr>
          <w:rFonts w:cs="Arial"/>
          <w:bCs/>
          <w:iCs/>
        </w:rPr>
        <w:t xml:space="preserve">high </w:t>
      </w:r>
      <w:r w:rsidR="00A214FF" w:rsidRPr="00777326">
        <w:rPr>
          <w:rFonts w:cs="Arial"/>
          <w:bCs/>
          <w:iCs/>
        </w:rPr>
        <w:t xml:space="preserve">risk of having poor oral health due to inadequate access to </w:t>
      </w:r>
      <w:r w:rsidRPr="00777326">
        <w:rPr>
          <w:rFonts w:cs="Arial"/>
          <w:bCs/>
          <w:iCs/>
        </w:rPr>
        <w:t>services</w:t>
      </w:r>
      <w:r w:rsidR="005E6C59" w:rsidRPr="00777326">
        <w:rPr>
          <w:rFonts w:cs="Arial"/>
          <w:bCs/>
          <w:iCs/>
        </w:rPr>
        <w:t>.</w:t>
      </w:r>
      <w:r w:rsidR="00E14F32" w:rsidRPr="00777326">
        <w:rPr>
          <w:rFonts w:cs="Arial"/>
          <w:bCs/>
          <w:iCs/>
        </w:rPr>
        <w:t xml:space="preserve">  </w:t>
      </w:r>
      <w:r w:rsidR="005E6C59" w:rsidRPr="00777326">
        <w:rPr>
          <w:rFonts w:cs="Arial"/>
          <w:bCs/>
          <w:iCs/>
        </w:rPr>
        <w:t>C</w:t>
      </w:r>
      <w:r w:rsidR="00A214FF" w:rsidRPr="00777326">
        <w:rPr>
          <w:rFonts w:cs="Arial"/>
          <w:bCs/>
          <w:iCs/>
        </w:rPr>
        <w:t>ertain disabilities m</w:t>
      </w:r>
      <w:r w:rsidR="005874A2" w:rsidRPr="00777326">
        <w:rPr>
          <w:rFonts w:cs="Arial"/>
          <w:bCs/>
          <w:iCs/>
        </w:rPr>
        <w:t>ake oral hygiene tasks hard</w:t>
      </w:r>
      <w:r w:rsidR="00A214FF" w:rsidRPr="00777326">
        <w:rPr>
          <w:rFonts w:cs="Arial"/>
          <w:bCs/>
          <w:iCs/>
        </w:rPr>
        <w:t xml:space="preserve"> to complete</w:t>
      </w:r>
      <w:r w:rsidR="005E6C59" w:rsidRPr="00777326">
        <w:rPr>
          <w:rFonts w:cs="Arial"/>
          <w:bCs/>
          <w:iCs/>
        </w:rPr>
        <w:t>,</w:t>
      </w:r>
      <w:r w:rsidR="00AB1382" w:rsidRPr="00777326">
        <w:rPr>
          <w:rFonts w:cs="Arial"/>
          <w:bCs/>
          <w:iCs/>
        </w:rPr>
        <w:t xml:space="preserve"> and obtaining</w:t>
      </w:r>
      <w:r w:rsidR="00A214FF" w:rsidRPr="00777326">
        <w:rPr>
          <w:rFonts w:cs="Arial"/>
          <w:bCs/>
          <w:iCs/>
        </w:rPr>
        <w:t xml:space="preserve"> </w:t>
      </w:r>
      <w:r w:rsidRPr="00777326">
        <w:rPr>
          <w:rFonts w:cs="Arial"/>
          <w:bCs/>
          <w:iCs/>
        </w:rPr>
        <w:t>services</w:t>
      </w:r>
      <w:r w:rsidR="005E6C59" w:rsidRPr="00777326">
        <w:rPr>
          <w:rFonts w:cs="Arial"/>
          <w:bCs/>
          <w:iCs/>
        </w:rPr>
        <w:t xml:space="preserve"> even more</w:t>
      </w:r>
      <w:r w:rsidR="00A214FF" w:rsidRPr="00777326">
        <w:rPr>
          <w:rFonts w:cs="Arial"/>
          <w:bCs/>
          <w:iCs/>
        </w:rPr>
        <w:t xml:space="preserve"> difficult. </w:t>
      </w:r>
    </w:p>
    <w:p w14:paraId="73488171" w14:textId="77777777" w:rsidR="00CC400C" w:rsidRPr="00777326" w:rsidRDefault="00CC400C" w:rsidP="00CC400C">
      <w:pPr>
        <w:autoSpaceDE w:val="0"/>
        <w:autoSpaceDN w:val="0"/>
        <w:adjustRightInd w:val="0"/>
        <w:spacing w:after="0" w:line="240" w:lineRule="auto"/>
        <w:rPr>
          <w:rFonts w:cs="Arial"/>
        </w:rPr>
      </w:pPr>
    </w:p>
    <w:p w14:paraId="3F9AB759" w14:textId="414AE740" w:rsidR="00A214FF" w:rsidRPr="00777326" w:rsidRDefault="00A214FF" w:rsidP="00A214FF">
      <w:pPr>
        <w:spacing w:line="240" w:lineRule="auto"/>
        <w:rPr>
          <w:rFonts w:cs="Arial"/>
          <w:bCs/>
          <w:iCs/>
        </w:rPr>
      </w:pPr>
      <w:r w:rsidRPr="00777326">
        <w:rPr>
          <w:rFonts w:cs="Arial"/>
          <w:bCs/>
          <w:iCs/>
        </w:rPr>
        <w:t>Publicly-funded dental preventive and treatment services for adults are spa</w:t>
      </w:r>
      <w:r w:rsidR="00484F5D" w:rsidRPr="00777326">
        <w:rPr>
          <w:rFonts w:cs="Arial"/>
          <w:bCs/>
          <w:iCs/>
        </w:rPr>
        <w:t>rse because Medicare covers only a</w:t>
      </w:r>
      <w:r w:rsidRPr="00777326">
        <w:rPr>
          <w:rFonts w:cs="Arial"/>
          <w:bCs/>
          <w:iCs/>
        </w:rPr>
        <w:t xml:space="preserve"> few medically-related dental procedures, and </w:t>
      </w:r>
      <w:r w:rsidR="00E9522A" w:rsidRPr="00777326">
        <w:rPr>
          <w:rFonts w:cs="Arial"/>
          <w:bCs/>
          <w:iCs/>
        </w:rPr>
        <w:t>many</w:t>
      </w:r>
      <w:r w:rsidRPr="00777326">
        <w:rPr>
          <w:rFonts w:cs="Arial"/>
          <w:bCs/>
          <w:iCs/>
        </w:rPr>
        <w:t xml:space="preserve"> state Medicaid programs</w:t>
      </w:r>
      <w:r w:rsidR="005E6C59" w:rsidRPr="00777326">
        <w:rPr>
          <w:rFonts w:cs="Arial"/>
          <w:bCs/>
          <w:iCs/>
        </w:rPr>
        <w:t>, which serve people with low income,</w:t>
      </w:r>
      <w:r w:rsidRPr="00777326">
        <w:rPr>
          <w:rFonts w:cs="Arial"/>
          <w:bCs/>
          <w:iCs/>
        </w:rPr>
        <w:t xml:space="preserve"> have little dental coverage</w:t>
      </w:r>
      <w:r w:rsidR="006C6558" w:rsidRPr="00777326">
        <w:rPr>
          <w:rFonts w:cs="Arial"/>
          <w:bCs/>
          <w:iCs/>
        </w:rPr>
        <w:t xml:space="preserve"> for adults</w:t>
      </w:r>
      <w:r w:rsidRPr="00777326">
        <w:rPr>
          <w:rFonts w:cs="Arial"/>
          <w:bCs/>
          <w:iCs/>
        </w:rPr>
        <w:t xml:space="preserve">.  Some funding for </w:t>
      </w:r>
      <w:r w:rsidR="00E1756A" w:rsidRPr="00777326">
        <w:rPr>
          <w:rFonts w:cs="Arial"/>
          <w:bCs/>
          <w:iCs/>
        </w:rPr>
        <w:t>oral health</w:t>
      </w:r>
      <w:r w:rsidRPr="00777326">
        <w:rPr>
          <w:rFonts w:cs="Arial"/>
          <w:bCs/>
          <w:iCs/>
        </w:rPr>
        <w:t xml:space="preserve"> is available under the Public Health Service Act through </w:t>
      </w:r>
      <w:r w:rsidR="00E648B6" w:rsidRPr="00777326">
        <w:rPr>
          <w:rFonts w:cs="Arial"/>
          <w:bCs/>
          <w:iCs/>
        </w:rPr>
        <w:t>the Health Resources and Services Administration</w:t>
      </w:r>
      <w:r w:rsidR="00F104A3" w:rsidRPr="00777326">
        <w:rPr>
          <w:rFonts w:cs="Arial"/>
          <w:bCs/>
          <w:iCs/>
        </w:rPr>
        <w:t>’s</w:t>
      </w:r>
      <w:r w:rsidR="00E648B6" w:rsidRPr="00777326">
        <w:rPr>
          <w:rFonts w:cs="Arial"/>
          <w:bCs/>
          <w:iCs/>
        </w:rPr>
        <w:t xml:space="preserve"> (HRSA)</w:t>
      </w:r>
      <w:r w:rsidR="00F104A3" w:rsidRPr="00777326">
        <w:rPr>
          <w:rFonts w:cs="Arial"/>
          <w:bCs/>
          <w:iCs/>
        </w:rPr>
        <w:t xml:space="preserve"> Community Health Centers program</w:t>
      </w:r>
      <w:r w:rsidR="00E14F32" w:rsidRPr="00777326">
        <w:rPr>
          <w:rFonts w:cs="Arial"/>
          <w:bCs/>
          <w:iCs/>
        </w:rPr>
        <w:t xml:space="preserve">.  </w:t>
      </w:r>
      <w:r w:rsidR="000A045E" w:rsidRPr="00777326">
        <w:rPr>
          <w:rFonts w:cs="Arial"/>
          <w:bCs/>
          <w:iCs/>
        </w:rPr>
        <w:t>In addition, t</w:t>
      </w:r>
      <w:r w:rsidRPr="00777326">
        <w:rPr>
          <w:rFonts w:cs="Arial"/>
          <w:bCs/>
          <w:iCs/>
        </w:rPr>
        <w:t xml:space="preserve">he Older Americans Act </w:t>
      </w:r>
      <w:r w:rsidR="00E9522A" w:rsidRPr="00777326">
        <w:rPr>
          <w:rFonts w:cs="Arial"/>
          <w:bCs/>
          <w:iCs/>
        </w:rPr>
        <w:t>Title III</w:t>
      </w:r>
      <w:r w:rsidR="00E648B6" w:rsidRPr="00777326">
        <w:rPr>
          <w:rFonts w:cs="Arial"/>
          <w:bCs/>
          <w:iCs/>
        </w:rPr>
        <w:t xml:space="preserve"> now </w:t>
      </w:r>
      <w:r w:rsidR="00E4446C" w:rsidRPr="00777326">
        <w:rPr>
          <w:rFonts w:cs="Arial"/>
          <w:bCs/>
          <w:iCs/>
        </w:rPr>
        <w:t>emphasizes</w:t>
      </w:r>
      <w:r w:rsidRPr="00777326">
        <w:rPr>
          <w:rFonts w:cs="Arial"/>
          <w:bCs/>
          <w:iCs/>
        </w:rPr>
        <w:t xml:space="preserve"> oral health promotion programs. </w:t>
      </w:r>
    </w:p>
    <w:p w14:paraId="29431971" w14:textId="77777777" w:rsidR="00E14F32" w:rsidRPr="00777326" w:rsidRDefault="00032797" w:rsidP="00032797">
      <w:pPr>
        <w:spacing w:line="240" w:lineRule="auto"/>
        <w:rPr>
          <w:rFonts w:cs="Arial"/>
          <w:iCs/>
        </w:rPr>
      </w:pPr>
      <w:r w:rsidRPr="00777326">
        <w:rPr>
          <w:rFonts w:cs="Arial"/>
          <w:iCs/>
        </w:rPr>
        <w:t>S</w:t>
      </w:r>
      <w:r w:rsidR="00CD07FB" w:rsidRPr="00777326">
        <w:rPr>
          <w:rFonts w:cs="Arial"/>
          <w:iCs/>
        </w:rPr>
        <w:t>tates</w:t>
      </w:r>
      <w:r w:rsidR="00766094" w:rsidRPr="00777326">
        <w:rPr>
          <w:rFonts w:cs="Arial"/>
          <w:iCs/>
        </w:rPr>
        <w:t xml:space="preserve"> </w:t>
      </w:r>
      <w:r w:rsidRPr="00777326">
        <w:rPr>
          <w:rFonts w:cs="Arial"/>
          <w:iCs/>
        </w:rPr>
        <w:t xml:space="preserve">have a number of options for expanding access to </w:t>
      </w:r>
      <w:r w:rsidR="00E1756A" w:rsidRPr="00777326">
        <w:rPr>
          <w:rFonts w:cs="Arial"/>
          <w:iCs/>
        </w:rPr>
        <w:t>oral health</w:t>
      </w:r>
      <w:r w:rsidRPr="00777326">
        <w:rPr>
          <w:rFonts w:cs="Arial"/>
          <w:iCs/>
        </w:rPr>
        <w:t>, including</w:t>
      </w:r>
      <w:r w:rsidR="000A045E" w:rsidRPr="00777326">
        <w:rPr>
          <w:rFonts w:cs="Arial"/>
          <w:iCs/>
        </w:rPr>
        <w:t>:</w:t>
      </w:r>
    </w:p>
    <w:p w14:paraId="7F3932EB" w14:textId="77777777" w:rsidR="00E14F32" w:rsidRPr="00777326" w:rsidRDefault="000A045E" w:rsidP="00E14F32">
      <w:pPr>
        <w:pStyle w:val="ListParagraph"/>
        <w:numPr>
          <w:ilvl w:val="0"/>
          <w:numId w:val="18"/>
        </w:numPr>
        <w:spacing w:line="240" w:lineRule="auto"/>
        <w:rPr>
          <w:rFonts w:cs="Arial"/>
          <w:iCs/>
        </w:rPr>
      </w:pPr>
      <w:r w:rsidRPr="00777326">
        <w:rPr>
          <w:rFonts w:cs="Arial"/>
          <w:iCs/>
        </w:rPr>
        <w:t>expanding Medicaid dental benefits and providing incentives for benefic</w:t>
      </w:r>
      <w:r w:rsidR="00E14F32" w:rsidRPr="00777326">
        <w:rPr>
          <w:rFonts w:cs="Arial"/>
          <w:iCs/>
        </w:rPr>
        <w:t>iaries to use them</w:t>
      </w:r>
      <w:r w:rsidRPr="00777326">
        <w:rPr>
          <w:rFonts w:cs="Arial"/>
          <w:iCs/>
        </w:rPr>
        <w:t xml:space="preserve"> </w:t>
      </w:r>
    </w:p>
    <w:p w14:paraId="7C501E68" w14:textId="1E736A86" w:rsidR="00E14F32" w:rsidRPr="00777326" w:rsidRDefault="000A045E" w:rsidP="00E14F32">
      <w:pPr>
        <w:pStyle w:val="ListParagraph"/>
        <w:numPr>
          <w:ilvl w:val="0"/>
          <w:numId w:val="18"/>
        </w:numPr>
        <w:spacing w:line="240" w:lineRule="auto"/>
        <w:rPr>
          <w:rFonts w:cs="Arial"/>
          <w:iCs/>
        </w:rPr>
      </w:pPr>
      <w:r w:rsidRPr="00777326">
        <w:rPr>
          <w:rFonts w:cs="Arial"/>
          <w:iCs/>
        </w:rPr>
        <w:t>encouraging Aging and Public Health Networks to coordinate in expanding oral health promotion</w:t>
      </w:r>
    </w:p>
    <w:p w14:paraId="37C044FE" w14:textId="5F56339B" w:rsidR="00E14F32" w:rsidRPr="00777326" w:rsidRDefault="00766094" w:rsidP="00E14F32">
      <w:pPr>
        <w:pStyle w:val="ListParagraph"/>
        <w:numPr>
          <w:ilvl w:val="0"/>
          <w:numId w:val="18"/>
        </w:numPr>
        <w:spacing w:line="240" w:lineRule="auto"/>
        <w:rPr>
          <w:rFonts w:cs="Arial"/>
          <w:iCs/>
        </w:rPr>
      </w:pPr>
      <w:r w:rsidRPr="00777326">
        <w:rPr>
          <w:rFonts w:cs="Arial"/>
          <w:iCs/>
        </w:rPr>
        <w:t xml:space="preserve">integrating oral health into primary </w:t>
      </w:r>
      <w:r w:rsidR="00AB1382" w:rsidRPr="00777326">
        <w:rPr>
          <w:rFonts w:cs="Arial"/>
          <w:iCs/>
        </w:rPr>
        <w:t xml:space="preserve">medical </w:t>
      </w:r>
      <w:r w:rsidR="00E14F32" w:rsidRPr="00777326">
        <w:rPr>
          <w:rFonts w:cs="Arial"/>
          <w:iCs/>
        </w:rPr>
        <w:t>care</w:t>
      </w:r>
    </w:p>
    <w:p w14:paraId="2D78AF5E" w14:textId="64EBCE20" w:rsidR="00766094" w:rsidRPr="00777326" w:rsidRDefault="00D12052" w:rsidP="00E14F32">
      <w:pPr>
        <w:pStyle w:val="ListParagraph"/>
        <w:numPr>
          <w:ilvl w:val="0"/>
          <w:numId w:val="18"/>
        </w:numPr>
        <w:spacing w:line="240" w:lineRule="auto"/>
        <w:rPr>
          <w:rFonts w:cs="Arial"/>
          <w:iCs/>
        </w:rPr>
      </w:pPr>
      <w:proofErr w:type="gramStart"/>
      <w:r w:rsidRPr="00777326">
        <w:rPr>
          <w:rFonts w:cs="Arial"/>
          <w:iCs/>
        </w:rPr>
        <w:t>enabling</w:t>
      </w:r>
      <w:proofErr w:type="gramEnd"/>
      <w:r w:rsidRPr="00777326">
        <w:rPr>
          <w:rFonts w:cs="Arial"/>
          <w:iCs/>
        </w:rPr>
        <w:t xml:space="preserve"> dentists to remotely supervise </w:t>
      </w:r>
      <w:r w:rsidR="00766094" w:rsidRPr="00777326">
        <w:rPr>
          <w:rFonts w:cs="Arial"/>
          <w:iCs/>
        </w:rPr>
        <w:t>dental h</w:t>
      </w:r>
      <w:r w:rsidR="000A045E" w:rsidRPr="00777326">
        <w:rPr>
          <w:rFonts w:cs="Arial"/>
          <w:iCs/>
        </w:rPr>
        <w:t>ygienists and dental therapists</w:t>
      </w:r>
      <w:r w:rsidR="00E14F32" w:rsidRPr="00777326">
        <w:rPr>
          <w:rFonts w:cs="Arial"/>
          <w:iCs/>
        </w:rPr>
        <w:t>.</w:t>
      </w:r>
      <w:r w:rsidR="00766094" w:rsidRPr="00777326">
        <w:rPr>
          <w:rFonts w:cs="Arial"/>
          <w:iCs/>
        </w:rPr>
        <w:t xml:space="preserve"> </w:t>
      </w:r>
    </w:p>
    <w:p w14:paraId="09EC816B" w14:textId="77777777" w:rsidR="00766094" w:rsidRDefault="00766094">
      <w:pPr>
        <w:rPr>
          <w:rFonts w:cs="Arial"/>
          <w:iCs/>
          <w:sz w:val="24"/>
          <w:szCs w:val="24"/>
        </w:rPr>
      </w:pPr>
      <w:r>
        <w:rPr>
          <w:rFonts w:cs="Arial"/>
          <w:iCs/>
          <w:sz w:val="24"/>
          <w:szCs w:val="24"/>
        </w:rPr>
        <w:br w:type="page"/>
      </w:r>
    </w:p>
    <w:p w14:paraId="2BFAAAD7" w14:textId="20847BB1" w:rsidR="00FB557E" w:rsidRPr="0037240B" w:rsidRDefault="00D30A34" w:rsidP="0037240B">
      <w:pPr>
        <w:pStyle w:val="Heading1"/>
        <w:spacing w:after="480"/>
        <w:jc w:val="center"/>
        <w:rPr>
          <w:rFonts w:asciiTheme="minorHAnsi" w:hAnsiTheme="minorHAnsi" w:cs="Arial"/>
          <w:iCs/>
        </w:rPr>
      </w:pPr>
      <w:r>
        <w:rPr>
          <w:rFonts w:asciiTheme="minorHAnsi" w:hAnsiTheme="minorHAnsi"/>
          <w:color w:val="auto"/>
        </w:rPr>
        <w:lastRenderedPageBreak/>
        <w:t xml:space="preserve">Oral Health and Its </w:t>
      </w:r>
      <w:r w:rsidR="0037240B" w:rsidRPr="0037240B">
        <w:rPr>
          <w:rFonts w:asciiTheme="minorHAnsi" w:hAnsiTheme="minorHAnsi"/>
          <w:color w:val="auto"/>
        </w:rPr>
        <w:t>Impact on</w:t>
      </w:r>
      <w:r w:rsidR="004F6362" w:rsidRPr="0037240B">
        <w:rPr>
          <w:rFonts w:asciiTheme="minorHAnsi" w:hAnsiTheme="minorHAnsi"/>
          <w:color w:val="auto"/>
        </w:rPr>
        <w:t xml:space="preserve"> </w:t>
      </w:r>
      <w:r w:rsidR="00FB557E" w:rsidRPr="0037240B">
        <w:rPr>
          <w:rFonts w:asciiTheme="minorHAnsi" w:hAnsiTheme="minorHAnsi"/>
          <w:color w:val="auto"/>
        </w:rPr>
        <w:t>Adults</w:t>
      </w:r>
      <w:r w:rsidR="0037240B" w:rsidRPr="0037240B">
        <w:rPr>
          <w:rFonts w:asciiTheme="minorHAnsi" w:hAnsiTheme="minorHAnsi"/>
          <w:color w:val="auto"/>
        </w:rPr>
        <w:t xml:space="preserve"> who Are Older or </w:t>
      </w:r>
      <w:r w:rsidR="004F6362" w:rsidRPr="0037240B">
        <w:rPr>
          <w:rFonts w:asciiTheme="minorHAnsi" w:hAnsiTheme="minorHAnsi"/>
          <w:color w:val="auto"/>
        </w:rPr>
        <w:t>Have Disabilities</w:t>
      </w:r>
    </w:p>
    <w:p w14:paraId="512D984C" w14:textId="77777777" w:rsidR="00A214FF" w:rsidRPr="00D84566" w:rsidRDefault="00032797" w:rsidP="00D84566">
      <w:pPr>
        <w:pStyle w:val="Heading1"/>
        <w:numPr>
          <w:ilvl w:val="0"/>
          <w:numId w:val="19"/>
        </w:numPr>
        <w:rPr>
          <w:rFonts w:ascii="Calibri" w:hAnsi="Calibri"/>
          <w:color w:val="auto"/>
          <w:sz w:val="22"/>
          <w:szCs w:val="22"/>
        </w:rPr>
      </w:pPr>
      <w:r w:rsidRPr="00D84566">
        <w:rPr>
          <w:rFonts w:ascii="Calibri" w:hAnsi="Calibri"/>
          <w:color w:val="auto"/>
          <w:sz w:val="22"/>
          <w:szCs w:val="22"/>
        </w:rPr>
        <w:t>Introduction</w:t>
      </w:r>
    </w:p>
    <w:p w14:paraId="5D387ED0" w14:textId="6D8A0EB2" w:rsidR="00C72594" w:rsidRPr="00777326" w:rsidRDefault="00CC400C" w:rsidP="00196E86">
      <w:pPr>
        <w:spacing w:line="240" w:lineRule="auto"/>
        <w:rPr>
          <w:rFonts w:cs="Arial"/>
          <w:bCs/>
          <w:iCs/>
        </w:rPr>
      </w:pPr>
      <w:r w:rsidRPr="00777326">
        <w:rPr>
          <w:rFonts w:cs="Arial"/>
          <w:color w:val="000000"/>
        </w:rPr>
        <w:t>The 2016 Older Americans Act Reauthorization a</w:t>
      </w:r>
      <w:r w:rsidR="00AA084B" w:rsidRPr="00777326">
        <w:rPr>
          <w:rFonts w:cs="Arial"/>
          <w:color w:val="000000"/>
        </w:rPr>
        <w:t>dded</w:t>
      </w:r>
      <w:r w:rsidRPr="00777326">
        <w:rPr>
          <w:rFonts w:cs="Arial"/>
          <w:color w:val="000000"/>
        </w:rPr>
        <w:t xml:space="preserve"> oral health to the list of its “disease prevention and health promotion </w:t>
      </w:r>
      <w:r w:rsidR="00E648B6" w:rsidRPr="00777326">
        <w:rPr>
          <w:rFonts w:cs="Arial"/>
          <w:color w:val="000000"/>
        </w:rPr>
        <w:t>services,</w:t>
      </w:r>
      <w:r w:rsidR="00C72594" w:rsidRPr="00777326">
        <w:rPr>
          <w:rFonts w:cs="Arial"/>
          <w:color w:val="000000"/>
        </w:rPr>
        <w:t>”</w:t>
      </w:r>
      <w:r w:rsidRPr="00777326">
        <w:rPr>
          <w:rFonts w:cs="Arial"/>
          <w:color w:val="000000"/>
        </w:rPr>
        <w:t xml:space="preserve"> </w:t>
      </w:r>
      <w:r w:rsidR="00E648B6" w:rsidRPr="00777326">
        <w:rPr>
          <w:rFonts w:cs="Arial"/>
          <w:color w:val="000000"/>
        </w:rPr>
        <w:t>which the Aging Network</w:t>
      </w:r>
      <w:r w:rsidR="00E648B6" w:rsidRPr="00777326">
        <w:rPr>
          <w:rStyle w:val="FootnoteReference"/>
          <w:rFonts w:cs="Arial"/>
          <w:color w:val="000000"/>
        </w:rPr>
        <w:footnoteReference w:id="1"/>
      </w:r>
      <w:r w:rsidR="00E648B6" w:rsidRPr="00777326">
        <w:rPr>
          <w:rFonts w:cs="Arial"/>
          <w:color w:val="000000"/>
        </w:rPr>
        <w:t xml:space="preserve"> delivers. </w:t>
      </w:r>
      <w:r w:rsidR="00E648B6" w:rsidRPr="00777326">
        <w:rPr>
          <w:rFonts w:cs="Arial"/>
        </w:rPr>
        <w:t>This</w:t>
      </w:r>
      <w:r w:rsidR="00C72594" w:rsidRPr="00777326">
        <w:rPr>
          <w:rFonts w:cs="Arial"/>
        </w:rPr>
        <w:t xml:space="preserve"> action</w:t>
      </w:r>
      <w:r w:rsidRPr="00777326">
        <w:rPr>
          <w:rFonts w:cs="Arial"/>
        </w:rPr>
        <w:t xml:space="preserve"> highlights policymakers’ emphasis on oral health as a crucial component of the health and wellness of older adults. Likewise younger adults with disabilities need access to </w:t>
      </w:r>
      <w:r w:rsidR="00E1756A" w:rsidRPr="00777326">
        <w:rPr>
          <w:rFonts w:cs="Arial"/>
        </w:rPr>
        <w:t>oral health</w:t>
      </w:r>
      <w:r w:rsidRPr="00777326">
        <w:rPr>
          <w:rFonts w:cs="Arial"/>
        </w:rPr>
        <w:t>.  Bo</w:t>
      </w:r>
      <w:r w:rsidR="00404E6D" w:rsidRPr="00777326">
        <w:rPr>
          <w:rFonts w:cs="Arial"/>
        </w:rPr>
        <w:t>th groups benefit from obtaining</w:t>
      </w:r>
      <w:r w:rsidRPr="00777326">
        <w:rPr>
          <w:rFonts w:cs="Arial"/>
        </w:rPr>
        <w:t xml:space="preserve"> these serv</w:t>
      </w:r>
      <w:r w:rsidR="00C72594" w:rsidRPr="00777326">
        <w:rPr>
          <w:rFonts w:cs="Arial"/>
        </w:rPr>
        <w:t>ices because t</w:t>
      </w:r>
      <w:r w:rsidR="00F86E50" w:rsidRPr="00777326">
        <w:rPr>
          <w:rFonts w:cs="Arial"/>
          <w:bCs/>
          <w:iCs/>
        </w:rPr>
        <w:t>he dental</w:t>
      </w:r>
      <w:r w:rsidR="009168B6" w:rsidRPr="00777326">
        <w:rPr>
          <w:rFonts w:cs="Arial"/>
          <w:bCs/>
          <w:iCs/>
        </w:rPr>
        <w:t xml:space="preserve"> </w:t>
      </w:r>
      <w:r w:rsidR="00317C1C" w:rsidRPr="00777326">
        <w:rPr>
          <w:rFonts w:cs="Arial"/>
          <w:bCs/>
          <w:iCs/>
        </w:rPr>
        <w:t>researc</w:t>
      </w:r>
      <w:r w:rsidR="00F86E50" w:rsidRPr="00777326">
        <w:rPr>
          <w:rFonts w:cs="Arial"/>
          <w:bCs/>
          <w:iCs/>
        </w:rPr>
        <w:t>h literature</w:t>
      </w:r>
      <w:r w:rsidR="00766094" w:rsidRPr="00777326">
        <w:rPr>
          <w:rFonts w:cs="Arial"/>
          <w:bCs/>
          <w:iCs/>
        </w:rPr>
        <w:t xml:space="preserve"> documents </w:t>
      </w:r>
      <w:r w:rsidR="00317C1C" w:rsidRPr="00777326">
        <w:rPr>
          <w:rFonts w:cs="Arial"/>
          <w:bCs/>
          <w:iCs/>
        </w:rPr>
        <w:t xml:space="preserve">that </w:t>
      </w:r>
      <w:r w:rsidR="009168B6" w:rsidRPr="00777326">
        <w:rPr>
          <w:rFonts w:cs="Arial"/>
          <w:bCs/>
          <w:iCs/>
        </w:rPr>
        <w:t xml:space="preserve">a person’s </w:t>
      </w:r>
      <w:r w:rsidR="00637B64" w:rsidRPr="00777326">
        <w:rPr>
          <w:rFonts w:cs="Arial"/>
          <w:bCs/>
          <w:iCs/>
        </w:rPr>
        <w:t xml:space="preserve">overall </w:t>
      </w:r>
      <w:r w:rsidR="009168B6" w:rsidRPr="00777326">
        <w:rPr>
          <w:rFonts w:cs="Arial"/>
          <w:bCs/>
          <w:iCs/>
        </w:rPr>
        <w:t xml:space="preserve">health </w:t>
      </w:r>
      <w:r w:rsidR="005E6C59" w:rsidRPr="00777326">
        <w:rPr>
          <w:rFonts w:cs="Arial"/>
          <w:bCs/>
          <w:iCs/>
        </w:rPr>
        <w:t>is closely linked to</w:t>
      </w:r>
      <w:r w:rsidR="00B61F30" w:rsidRPr="00777326">
        <w:rPr>
          <w:rFonts w:cs="Arial"/>
          <w:bCs/>
          <w:iCs/>
        </w:rPr>
        <w:t xml:space="preserve"> their oral health. </w:t>
      </w:r>
      <w:r w:rsidR="00AA084B" w:rsidRPr="00777326">
        <w:rPr>
          <w:rFonts w:cs="Arial"/>
          <w:bCs/>
          <w:iCs/>
        </w:rPr>
        <w:t xml:space="preserve"> For example, p</w:t>
      </w:r>
      <w:r w:rsidR="00F86E50" w:rsidRPr="00777326">
        <w:rPr>
          <w:rFonts w:cs="Arial"/>
          <w:bCs/>
          <w:iCs/>
        </w:rPr>
        <w:t>oor oral health</w:t>
      </w:r>
      <w:r w:rsidR="005E6C59" w:rsidRPr="00777326">
        <w:rPr>
          <w:rFonts w:cs="Arial"/>
          <w:bCs/>
          <w:iCs/>
        </w:rPr>
        <w:t>, which is largely preventable,</w:t>
      </w:r>
      <w:r w:rsidR="00F86E50" w:rsidRPr="00777326">
        <w:rPr>
          <w:rFonts w:cs="Arial"/>
          <w:bCs/>
          <w:iCs/>
        </w:rPr>
        <w:t xml:space="preserve"> is a risk factor for chronic diseases</w:t>
      </w:r>
      <w:r w:rsidR="00766094" w:rsidRPr="00777326">
        <w:rPr>
          <w:rFonts w:cs="Arial"/>
          <w:bCs/>
          <w:iCs/>
        </w:rPr>
        <w:t>,</w:t>
      </w:r>
      <w:r w:rsidR="00F86E50" w:rsidRPr="00777326">
        <w:rPr>
          <w:rFonts w:cs="Arial"/>
          <w:bCs/>
          <w:iCs/>
        </w:rPr>
        <w:t xml:space="preserve"> such as heart disease and stroke.  </w:t>
      </w:r>
    </w:p>
    <w:p w14:paraId="5B65DE48" w14:textId="2817CC7F" w:rsidR="00074005" w:rsidRPr="00777326" w:rsidRDefault="00074005" w:rsidP="00196E86">
      <w:pPr>
        <w:spacing w:line="240" w:lineRule="auto"/>
        <w:rPr>
          <w:rFonts w:cs="Arial"/>
        </w:rPr>
      </w:pPr>
      <w:r w:rsidRPr="00777326">
        <w:rPr>
          <w:rFonts w:cs="Arial"/>
          <w:bCs/>
          <w:iCs/>
        </w:rPr>
        <w:t xml:space="preserve">Older adults and </w:t>
      </w:r>
      <w:r w:rsidR="00717490" w:rsidRPr="00777326">
        <w:rPr>
          <w:rFonts w:cs="Arial"/>
          <w:bCs/>
          <w:iCs/>
        </w:rPr>
        <w:t xml:space="preserve">adults </w:t>
      </w:r>
      <w:r w:rsidRPr="00777326">
        <w:rPr>
          <w:rFonts w:cs="Arial"/>
          <w:bCs/>
          <w:iCs/>
        </w:rPr>
        <w:t>with disabilities are at</w:t>
      </w:r>
      <w:r w:rsidR="00766094" w:rsidRPr="00777326">
        <w:rPr>
          <w:rFonts w:cs="Arial"/>
          <w:bCs/>
          <w:iCs/>
        </w:rPr>
        <w:t xml:space="preserve"> high</w:t>
      </w:r>
      <w:r w:rsidRPr="00777326">
        <w:rPr>
          <w:rFonts w:cs="Arial"/>
          <w:bCs/>
          <w:iCs/>
        </w:rPr>
        <w:t xml:space="preserve"> risk of having poor oral health du</w:t>
      </w:r>
      <w:r w:rsidR="00E1756A" w:rsidRPr="00777326">
        <w:rPr>
          <w:rFonts w:cs="Arial"/>
          <w:bCs/>
          <w:iCs/>
        </w:rPr>
        <w:t>e to inadequate access to</w:t>
      </w:r>
      <w:r w:rsidRPr="00777326">
        <w:rPr>
          <w:rFonts w:cs="Arial"/>
          <w:bCs/>
          <w:iCs/>
        </w:rPr>
        <w:t xml:space="preserve"> services</w:t>
      </w:r>
      <w:r w:rsidR="005E6C59" w:rsidRPr="00777326">
        <w:rPr>
          <w:rFonts w:cs="Arial"/>
          <w:bCs/>
          <w:iCs/>
        </w:rPr>
        <w:t>.</w:t>
      </w:r>
      <w:r w:rsidRPr="00777326">
        <w:rPr>
          <w:rFonts w:cs="Arial"/>
          <w:bCs/>
          <w:iCs/>
        </w:rPr>
        <w:t xml:space="preserve"> </w:t>
      </w:r>
      <w:r w:rsidR="00E14F32" w:rsidRPr="00777326">
        <w:rPr>
          <w:rFonts w:cs="Arial"/>
          <w:bCs/>
          <w:iCs/>
        </w:rPr>
        <w:t xml:space="preserve"> </w:t>
      </w:r>
      <w:r w:rsidR="005E6C59" w:rsidRPr="00777326">
        <w:rPr>
          <w:rFonts w:cs="Arial"/>
          <w:bCs/>
          <w:iCs/>
        </w:rPr>
        <w:t>C</w:t>
      </w:r>
      <w:r w:rsidR="00766094" w:rsidRPr="00777326">
        <w:rPr>
          <w:rFonts w:cs="Arial"/>
          <w:bCs/>
          <w:iCs/>
        </w:rPr>
        <w:t xml:space="preserve">ertain disabilities </w:t>
      </w:r>
      <w:r w:rsidR="00AA084B" w:rsidRPr="00777326">
        <w:rPr>
          <w:rFonts w:cs="Arial"/>
          <w:bCs/>
          <w:iCs/>
        </w:rPr>
        <w:t>may</w:t>
      </w:r>
      <w:r w:rsidR="00766094" w:rsidRPr="00777326">
        <w:rPr>
          <w:rFonts w:cs="Arial"/>
          <w:bCs/>
          <w:iCs/>
        </w:rPr>
        <w:t xml:space="preserve"> m</w:t>
      </w:r>
      <w:r w:rsidR="00E4446C" w:rsidRPr="00777326">
        <w:rPr>
          <w:rFonts w:cs="Arial"/>
          <w:bCs/>
          <w:iCs/>
        </w:rPr>
        <w:t>ake oral hygiene tasks hard</w:t>
      </w:r>
      <w:r w:rsidR="00766094" w:rsidRPr="00777326">
        <w:rPr>
          <w:rFonts w:cs="Arial"/>
          <w:bCs/>
          <w:iCs/>
        </w:rPr>
        <w:t xml:space="preserve"> t</w:t>
      </w:r>
      <w:r w:rsidR="00E1756A" w:rsidRPr="00777326">
        <w:rPr>
          <w:rFonts w:cs="Arial"/>
          <w:bCs/>
          <w:iCs/>
        </w:rPr>
        <w:t xml:space="preserve">o complete and </w:t>
      </w:r>
      <w:r w:rsidR="005E6C59" w:rsidRPr="00777326">
        <w:rPr>
          <w:rFonts w:cs="Arial"/>
          <w:bCs/>
          <w:iCs/>
        </w:rPr>
        <w:t xml:space="preserve">make </w:t>
      </w:r>
      <w:r w:rsidR="00E1756A" w:rsidRPr="00777326">
        <w:rPr>
          <w:rFonts w:cs="Arial"/>
          <w:bCs/>
          <w:iCs/>
        </w:rPr>
        <w:t xml:space="preserve">access to </w:t>
      </w:r>
      <w:r w:rsidR="00766094" w:rsidRPr="00777326">
        <w:rPr>
          <w:rFonts w:cs="Arial"/>
          <w:bCs/>
          <w:iCs/>
        </w:rPr>
        <w:t xml:space="preserve">services </w:t>
      </w:r>
      <w:r w:rsidR="005E6C59" w:rsidRPr="00777326">
        <w:rPr>
          <w:rFonts w:cs="Arial"/>
          <w:bCs/>
          <w:iCs/>
        </w:rPr>
        <w:t xml:space="preserve">even more </w:t>
      </w:r>
      <w:r w:rsidR="00766094" w:rsidRPr="00777326">
        <w:rPr>
          <w:rFonts w:cs="Arial"/>
          <w:bCs/>
          <w:iCs/>
        </w:rPr>
        <w:t xml:space="preserve">difficult. </w:t>
      </w:r>
      <w:r w:rsidR="00C72594" w:rsidRPr="00777326">
        <w:rPr>
          <w:rFonts w:cs="Arial"/>
        </w:rPr>
        <w:t xml:space="preserve"> </w:t>
      </w:r>
      <w:r w:rsidR="00F86E50" w:rsidRPr="00777326">
        <w:rPr>
          <w:rFonts w:cs="Arial"/>
          <w:bCs/>
          <w:iCs/>
        </w:rPr>
        <w:t xml:space="preserve">Publicly-funded </w:t>
      </w:r>
      <w:r w:rsidR="002A1193" w:rsidRPr="00777326">
        <w:rPr>
          <w:rFonts w:cs="Arial"/>
          <w:bCs/>
          <w:iCs/>
        </w:rPr>
        <w:t xml:space="preserve">dental </w:t>
      </w:r>
      <w:r w:rsidRPr="00777326">
        <w:rPr>
          <w:rFonts w:cs="Arial"/>
          <w:bCs/>
          <w:iCs/>
        </w:rPr>
        <w:t>services for adults are</w:t>
      </w:r>
      <w:r w:rsidR="00F86E50" w:rsidRPr="00777326">
        <w:rPr>
          <w:rFonts w:cs="Arial"/>
          <w:bCs/>
          <w:iCs/>
        </w:rPr>
        <w:t xml:space="preserve"> sparse</w:t>
      </w:r>
      <w:r w:rsidR="002A1193" w:rsidRPr="00777326">
        <w:rPr>
          <w:rFonts w:cs="Arial"/>
          <w:bCs/>
          <w:iCs/>
        </w:rPr>
        <w:t xml:space="preserve"> because Medicare covers very few</w:t>
      </w:r>
      <w:r w:rsidR="00F86E50" w:rsidRPr="00777326">
        <w:rPr>
          <w:rFonts w:cs="Arial"/>
          <w:bCs/>
          <w:iCs/>
        </w:rPr>
        <w:t xml:space="preserve"> medically-related </w:t>
      </w:r>
      <w:r w:rsidRPr="00777326">
        <w:rPr>
          <w:rFonts w:cs="Arial"/>
          <w:bCs/>
          <w:iCs/>
        </w:rPr>
        <w:t xml:space="preserve">dental </w:t>
      </w:r>
      <w:r w:rsidR="00F86E50" w:rsidRPr="00777326">
        <w:rPr>
          <w:rFonts w:cs="Arial"/>
          <w:bCs/>
          <w:iCs/>
        </w:rPr>
        <w:t xml:space="preserve">procedures, </w:t>
      </w:r>
      <w:r w:rsidRPr="00777326">
        <w:rPr>
          <w:rFonts w:cs="Arial"/>
          <w:bCs/>
          <w:iCs/>
        </w:rPr>
        <w:t xml:space="preserve">and </w:t>
      </w:r>
      <w:r w:rsidR="00B61F30" w:rsidRPr="00777326">
        <w:rPr>
          <w:rFonts w:cs="Arial"/>
          <w:bCs/>
          <w:iCs/>
        </w:rPr>
        <w:t xml:space="preserve">many </w:t>
      </w:r>
      <w:r w:rsidR="00F86E50" w:rsidRPr="00777326">
        <w:rPr>
          <w:rFonts w:cs="Arial"/>
          <w:bCs/>
          <w:iCs/>
        </w:rPr>
        <w:t xml:space="preserve">state Medicaid programs have little </w:t>
      </w:r>
      <w:r w:rsidRPr="00777326">
        <w:rPr>
          <w:rFonts w:cs="Arial"/>
          <w:bCs/>
          <w:iCs/>
        </w:rPr>
        <w:t xml:space="preserve">dental </w:t>
      </w:r>
      <w:r w:rsidR="00F86E50" w:rsidRPr="00777326">
        <w:rPr>
          <w:rFonts w:cs="Arial"/>
          <w:bCs/>
          <w:iCs/>
        </w:rPr>
        <w:t>coverage</w:t>
      </w:r>
      <w:r w:rsidR="006C6558" w:rsidRPr="00777326">
        <w:rPr>
          <w:rFonts w:cs="Arial"/>
          <w:bCs/>
          <w:iCs/>
        </w:rPr>
        <w:t xml:space="preserve"> for adults</w:t>
      </w:r>
      <w:r w:rsidRPr="00777326">
        <w:rPr>
          <w:rFonts w:cs="Arial"/>
          <w:bCs/>
          <w:iCs/>
        </w:rPr>
        <w:t xml:space="preserve">.  Some funding for </w:t>
      </w:r>
      <w:r w:rsidR="00E1756A" w:rsidRPr="00777326">
        <w:rPr>
          <w:rFonts w:cs="Arial"/>
          <w:bCs/>
          <w:iCs/>
        </w:rPr>
        <w:t>oral health</w:t>
      </w:r>
      <w:r w:rsidRPr="00777326">
        <w:rPr>
          <w:rFonts w:cs="Arial"/>
          <w:bCs/>
          <w:iCs/>
        </w:rPr>
        <w:t xml:space="preserve"> is available</w:t>
      </w:r>
      <w:r w:rsidR="00C72594" w:rsidRPr="00777326">
        <w:rPr>
          <w:rFonts w:cs="Arial"/>
          <w:bCs/>
          <w:iCs/>
        </w:rPr>
        <w:t xml:space="preserve"> through the </w:t>
      </w:r>
      <w:r w:rsidR="00E4446C" w:rsidRPr="00777326">
        <w:rPr>
          <w:rFonts w:cs="Arial"/>
          <w:bCs/>
          <w:iCs/>
        </w:rPr>
        <w:t xml:space="preserve">Public Health Services Act’s funding of </w:t>
      </w:r>
      <w:r w:rsidR="00C72594" w:rsidRPr="00777326">
        <w:rPr>
          <w:rFonts w:cs="Arial"/>
          <w:bCs/>
          <w:iCs/>
        </w:rPr>
        <w:t>Community Health Centers and</w:t>
      </w:r>
      <w:r w:rsidRPr="00777326">
        <w:rPr>
          <w:rFonts w:cs="Arial"/>
          <w:bCs/>
          <w:iCs/>
        </w:rPr>
        <w:t xml:space="preserve"> the Older Americans Act </w:t>
      </w:r>
      <w:r w:rsidR="00B61F30" w:rsidRPr="00777326">
        <w:rPr>
          <w:rFonts w:cs="Arial"/>
          <w:bCs/>
          <w:iCs/>
        </w:rPr>
        <w:t xml:space="preserve">Title III </w:t>
      </w:r>
      <w:r w:rsidR="00C72594" w:rsidRPr="00777326">
        <w:rPr>
          <w:rFonts w:cs="Arial"/>
          <w:bCs/>
          <w:iCs/>
        </w:rPr>
        <w:t>now</w:t>
      </w:r>
      <w:r w:rsidR="00E4446C" w:rsidRPr="00777326">
        <w:rPr>
          <w:rFonts w:cs="Arial"/>
          <w:bCs/>
          <w:iCs/>
        </w:rPr>
        <w:t xml:space="preserve"> emphasizes </w:t>
      </w:r>
      <w:r w:rsidRPr="00777326">
        <w:rPr>
          <w:rFonts w:cs="Arial"/>
          <w:bCs/>
          <w:iCs/>
        </w:rPr>
        <w:t>oral health promotion</w:t>
      </w:r>
      <w:r w:rsidR="00C72594" w:rsidRPr="00777326">
        <w:rPr>
          <w:rFonts w:cs="Arial"/>
          <w:bCs/>
          <w:iCs/>
        </w:rPr>
        <w:t xml:space="preserve"> services</w:t>
      </w:r>
      <w:r w:rsidRPr="00777326">
        <w:rPr>
          <w:rFonts w:cs="Arial"/>
          <w:bCs/>
          <w:iCs/>
        </w:rPr>
        <w:t xml:space="preserve">. </w:t>
      </w:r>
    </w:p>
    <w:p w14:paraId="6E0D5F7F" w14:textId="086E1D32" w:rsidR="003B3138" w:rsidRPr="00777326" w:rsidRDefault="00CE4122" w:rsidP="00196E86">
      <w:pPr>
        <w:spacing w:line="240" w:lineRule="auto"/>
        <w:rPr>
          <w:rFonts w:cs="Arial"/>
          <w:bCs/>
          <w:iCs/>
        </w:rPr>
      </w:pPr>
      <w:r>
        <w:rPr>
          <w:rFonts w:cs="Arial"/>
          <w:bCs/>
          <w:iCs/>
        </w:rPr>
        <w:t>This issue</w:t>
      </w:r>
      <w:r w:rsidR="00074005" w:rsidRPr="00777326">
        <w:rPr>
          <w:rFonts w:cs="Arial"/>
          <w:bCs/>
          <w:iCs/>
        </w:rPr>
        <w:t xml:space="preserve"> brief explores</w:t>
      </w:r>
      <w:r w:rsidR="00032797" w:rsidRPr="00777326">
        <w:rPr>
          <w:rFonts w:cs="Arial"/>
          <w:bCs/>
          <w:iCs/>
        </w:rPr>
        <w:t>: 1)</w:t>
      </w:r>
      <w:r w:rsidR="00074005" w:rsidRPr="00777326">
        <w:rPr>
          <w:rFonts w:cs="Arial"/>
          <w:bCs/>
          <w:iCs/>
        </w:rPr>
        <w:t xml:space="preserve"> the </w:t>
      </w:r>
      <w:r w:rsidR="00F77E20" w:rsidRPr="00777326">
        <w:rPr>
          <w:rFonts w:cs="Arial"/>
          <w:bCs/>
          <w:iCs/>
        </w:rPr>
        <w:t xml:space="preserve">causes </w:t>
      </w:r>
      <w:r w:rsidR="00766094" w:rsidRPr="00777326">
        <w:rPr>
          <w:rFonts w:cs="Arial"/>
          <w:bCs/>
          <w:iCs/>
        </w:rPr>
        <w:t xml:space="preserve">and consequences </w:t>
      </w:r>
      <w:r w:rsidR="00F77E20" w:rsidRPr="00777326">
        <w:rPr>
          <w:rFonts w:cs="Arial"/>
          <w:bCs/>
          <w:iCs/>
        </w:rPr>
        <w:t>of poor oral health</w:t>
      </w:r>
      <w:r w:rsidR="007A13AA" w:rsidRPr="00777326">
        <w:rPr>
          <w:rFonts w:cs="Arial"/>
          <w:bCs/>
          <w:iCs/>
        </w:rPr>
        <w:t>;</w:t>
      </w:r>
      <w:r w:rsidR="00F77E20" w:rsidRPr="00777326">
        <w:rPr>
          <w:rFonts w:cs="Arial"/>
          <w:bCs/>
          <w:iCs/>
        </w:rPr>
        <w:t xml:space="preserve"> </w:t>
      </w:r>
      <w:r w:rsidR="00766094" w:rsidRPr="00777326">
        <w:rPr>
          <w:rFonts w:cs="Arial"/>
          <w:bCs/>
          <w:iCs/>
        </w:rPr>
        <w:t>2</w:t>
      </w:r>
      <w:r w:rsidR="00032797" w:rsidRPr="00777326">
        <w:rPr>
          <w:rFonts w:cs="Arial"/>
          <w:bCs/>
          <w:iCs/>
        </w:rPr>
        <w:t xml:space="preserve">) </w:t>
      </w:r>
      <w:r w:rsidR="00766094" w:rsidRPr="00777326">
        <w:rPr>
          <w:rFonts w:cs="Arial"/>
          <w:bCs/>
          <w:iCs/>
        </w:rPr>
        <w:t xml:space="preserve">prevention of poor oral health; 3) </w:t>
      </w:r>
      <w:r w:rsidR="004A71A9" w:rsidRPr="00777326">
        <w:rPr>
          <w:rFonts w:cs="Arial"/>
          <w:bCs/>
          <w:iCs/>
        </w:rPr>
        <w:t>risk of poor oral health among</w:t>
      </w:r>
      <w:r w:rsidR="00766094" w:rsidRPr="00777326">
        <w:rPr>
          <w:rFonts w:cs="Arial"/>
          <w:bCs/>
          <w:iCs/>
        </w:rPr>
        <w:t xml:space="preserve"> older adults, racial and ethnic minorities, and adults with disabilities;</w:t>
      </w:r>
      <w:r w:rsidR="00F77E20" w:rsidRPr="00777326">
        <w:rPr>
          <w:rFonts w:cs="Arial"/>
          <w:bCs/>
          <w:iCs/>
        </w:rPr>
        <w:t xml:space="preserve"> </w:t>
      </w:r>
      <w:r w:rsidR="00614C02" w:rsidRPr="00777326">
        <w:rPr>
          <w:rFonts w:cs="Arial"/>
          <w:bCs/>
          <w:iCs/>
        </w:rPr>
        <w:t>4) publ</w:t>
      </w:r>
      <w:r w:rsidR="00CD07FB" w:rsidRPr="00777326">
        <w:rPr>
          <w:rFonts w:cs="Arial"/>
          <w:bCs/>
          <w:iCs/>
        </w:rPr>
        <w:t xml:space="preserve">icly-funded dental coverage; </w:t>
      </w:r>
      <w:r w:rsidR="00E4446C" w:rsidRPr="00777326">
        <w:rPr>
          <w:rFonts w:cs="Arial"/>
          <w:bCs/>
          <w:iCs/>
        </w:rPr>
        <w:t>5</w:t>
      </w:r>
      <w:r w:rsidR="00CD07FB" w:rsidRPr="00777326">
        <w:rPr>
          <w:rFonts w:cs="Arial"/>
          <w:bCs/>
          <w:iCs/>
        </w:rPr>
        <w:t xml:space="preserve">) </w:t>
      </w:r>
      <w:r w:rsidR="00B61F30" w:rsidRPr="00777326">
        <w:rPr>
          <w:rFonts w:cs="Arial"/>
          <w:bCs/>
          <w:iCs/>
        </w:rPr>
        <w:t xml:space="preserve">state </w:t>
      </w:r>
      <w:r w:rsidR="00CD07FB" w:rsidRPr="00777326">
        <w:rPr>
          <w:rFonts w:cs="Arial"/>
          <w:bCs/>
          <w:iCs/>
        </w:rPr>
        <w:t>options for increasing funding for services</w:t>
      </w:r>
      <w:r w:rsidR="00E4446C" w:rsidRPr="00777326">
        <w:rPr>
          <w:rFonts w:cs="Arial"/>
          <w:bCs/>
          <w:iCs/>
        </w:rPr>
        <w:t>; and 6) state options for improving access to oral health services</w:t>
      </w:r>
      <w:r w:rsidR="00AA084B" w:rsidRPr="00777326">
        <w:rPr>
          <w:rFonts w:cs="Arial"/>
          <w:bCs/>
          <w:iCs/>
        </w:rPr>
        <w:t xml:space="preserve"> through changes in </w:t>
      </w:r>
      <w:r w:rsidR="00915582" w:rsidRPr="00777326">
        <w:rPr>
          <w:rFonts w:cs="Arial"/>
          <w:bCs/>
          <w:iCs/>
        </w:rPr>
        <w:t xml:space="preserve">primary health care and </w:t>
      </w:r>
      <w:r w:rsidR="00AA084B" w:rsidRPr="00777326">
        <w:rPr>
          <w:rFonts w:cs="Arial"/>
          <w:bCs/>
          <w:iCs/>
        </w:rPr>
        <w:t>dental practice</w:t>
      </w:r>
      <w:r w:rsidR="00CD07FB" w:rsidRPr="00777326">
        <w:rPr>
          <w:rFonts w:cs="Arial"/>
          <w:bCs/>
          <w:iCs/>
        </w:rPr>
        <w:t>.</w:t>
      </w:r>
      <w:r w:rsidR="006B7533" w:rsidRPr="00777326">
        <w:rPr>
          <w:rFonts w:cs="Arial"/>
          <w:bCs/>
          <w:iCs/>
        </w:rPr>
        <w:t xml:space="preserve"> </w:t>
      </w:r>
    </w:p>
    <w:p w14:paraId="12158832" w14:textId="77777777" w:rsidR="00660641" w:rsidRPr="00D84566" w:rsidRDefault="00660641" w:rsidP="00D84566">
      <w:pPr>
        <w:pStyle w:val="Heading1"/>
        <w:numPr>
          <w:ilvl w:val="0"/>
          <w:numId w:val="19"/>
        </w:numPr>
        <w:rPr>
          <w:rFonts w:ascii="Calibri" w:hAnsi="Calibri"/>
          <w:color w:val="auto"/>
          <w:sz w:val="22"/>
          <w:szCs w:val="22"/>
        </w:rPr>
      </w:pPr>
      <w:r w:rsidRPr="00D84566">
        <w:rPr>
          <w:rFonts w:ascii="Calibri" w:hAnsi="Calibri"/>
          <w:color w:val="auto"/>
          <w:sz w:val="22"/>
          <w:szCs w:val="22"/>
        </w:rPr>
        <w:t>Oral Health Problems</w:t>
      </w:r>
      <w:r w:rsidR="007A13AA" w:rsidRPr="00D84566">
        <w:rPr>
          <w:rFonts w:ascii="Calibri" w:hAnsi="Calibri"/>
          <w:color w:val="auto"/>
          <w:sz w:val="22"/>
          <w:szCs w:val="22"/>
        </w:rPr>
        <w:t xml:space="preserve"> and their </w:t>
      </w:r>
      <w:r w:rsidR="0029197A" w:rsidRPr="00D84566">
        <w:rPr>
          <w:rFonts w:ascii="Calibri" w:hAnsi="Calibri"/>
          <w:color w:val="auto"/>
          <w:sz w:val="22"/>
          <w:szCs w:val="22"/>
        </w:rPr>
        <w:t>Consequences</w:t>
      </w:r>
    </w:p>
    <w:p w14:paraId="5F169FC8" w14:textId="54CCAAA3" w:rsidR="0029197A" w:rsidRPr="00777326" w:rsidRDefault="003A0C1A" w:rsidP="003A0C1A">
      <w:pPr>
        <w:spacing w:line="240" w:lineRule="auto"/>
        <w:rPr>
          <w:rFonts w:cs="Arial"/>
          <w:bCs/>
          <w:iCs/>
        </w:rPr>
      </w:pPr>
      <w:r w:rsidRPr="00777326">
        <w:rPr>
          <w:rFonts w:cs="Arial"/>
          <w:bCs/>
          <w:iCs/>
        </w:rPr>
        <w:t>Poor oral health is a preventable condition resulting</w:t>
      </w:r>
      <w:r w:rsidR="00660641" w:rsidRPr="00777326">
        <w:rPr>
          <w:rFonts w:cs="Arial"/>
          <w:bCs/>
          <w:iCs/>
        </w:rPr>
        <w:t xml:space="preserve"> from, among other things, inadequate oral hygiene and untreated infections</w:t>
      </w:r>
      <w:r w:rsidR="000E190B" w:rsidRPr="00777326">
        <w:rPr>
          <w:rFonts w:cs="Arial"/>
          <w:bCs/>
          <w:iCs/>
        </w:rPr>
        <w:t xml:space="preserve">.  </w:t>
      </w:r>
      <w:r w:rsidR="0029197A" w:rsidRPr="00777326">
        <w:rPr>
          <w:rFonts w:cs="Arial"/>
          <w:bCs/>
          <w:iCs/>
        </w:rPr>
        <w:t xml:space="preserve">Infections can occur in teeth and the </w:t>
      </w:r>
      <w:proofErr w:type="spellStart"/>
      <w:r w:rsidR="0029197A" w:rsidRPr="00777326">
        <w:rPr>
          <w:rFonts w:cs="Arial"/>
          <w:bCs/>
          <w:iCs/>
        </w:rPr>
        <w:t>periodontium</w:t>
      </w:r>
      <w:proofErr w:type="spellEnd"/>
      <w:r w:rsidR="0029197A" w:rsidRPr="00777326">
        <w:rPr>
          <w:rFonts w:cs="Arial"/>
          <w:bCs/>
          <w:iCs/>
        </w:rPr>
        <w:t>, which is the structure that support</w:t>
      </w:r>
      <w:r w:rsidR="00404E6D" w:rsidRPr="00777326">
        <w:rPr>
          <w:rFonts w:cs="Arial"/>
          <w:bCs/>
          <w:iCs/>
        </w:rPr>
        <w:t>s</w:t>
      </w:r>
      <w:r w:rsidR="0029197A" w:rsidRPr="00777326">
        <w:rPr>
          <w:rFonts w:cs="Arial"/>
          <w:bCs/>
          <w:iCs/>
        </w:rPr>
        <w:t xml:space="preserve"> and surround</w:t>
      </w:r>
      <w:r w:rsidR="00404E6D" w:rsidRPr="00777326">
        <w:rPr>
          <w:rFonts w:cs="Arial"/>
          <w:bCs/>
          <w:iCs/>
        </w:rPr>
        <w:t>s</w:t>
      </w:r>
      <w:r w:rsidR="0029197A" w:rsidRPr="00777326">
        <w:rPr>
          <w:rFonts w:cs="Arial"/>
          <w:bCs/>
          <w:iCs/>
        </w:rPr>
        <w:t xml:space="preserve"> the teeth.</w:t>
      </w:r>
      <w:r w:rsidR="00E14F32" w:rsidRPr="00777326">
        <w:rPr>
          <w:rFonts w:cs="Arial"/>
          <w:bCs/>
          <w:iCs/>
        </w:rPr>
        <w:t xml:space="preserve">  </w:t>
      </w:r>
      <w:r w:rsidR="00660641" w:rsidRPr="00777326">
        <w:rPr>
          <w:rFonts w:cs="Arial"/>
          <w:iCs/>
        </w:rPr>
        <w:t xml:space="preserve">Without treatment, </w:t>
      </w:r>
      <w:r w:rsidR="0029197A" w:rsidRPr="00777326">
        <w:rPr>
          <w:rFonts w:cs="Arial"/>
          <w:iCs/>
        </w:rPr>
        <w:t xml:space="preserve">tooth </w:t>
      </w:r>
      <w:r w:rsidR="00660641" w:rsidRPr="00777326">
        <w:rPr>
          <w:rFonts w:cs="Arial"/>
          <w:iCs/>
        </w:rPr>
        <w:t xml:space="preserve">decay can result in tooth loss, abscess, bone loss, </w:t>
      </w:r>
      <w:r w:rsidR="00717490" w:rsidRPr="00777326">
        <w:rPr>
          <w:rFonts w:cs="Arial"/>
          <w:iCs/>
        </w:rPr>
        <w:t xml:space="preserve">pain, </w:t>
      </w:r>
      <w:r w:rsidR="00660641" w:rsidRPr="00777326">
        <w:rPr>
          <w:rFonts w:cs="Arial"/>
          <w:iCs/>
        </w:rPr>
        <w:t xml:space="preserve">and systemic infection.  </w:t>
      </w:r>
      <w:r w:rsidR="00660641" w:rsidRPr="00777326">
        <w:t>Periodont</w:t>
      </w:r>
      <w:r w:rsidR="006C6558" w:rsidRPr="00777326">
        <w:t>al diseases are</w:t>
      </w:r>
      <w:r w:rsidR="00AA084B" w:rsidRPr="00777326">
        <w:t xml:space="preserve"> infection</w:t>
      </w:r>
      <w:r w:rsidR="006C6558" w:rsidRPr="00777326">
        <w:t>s</w:t>
      </w:r>
      <w:r w:rsidR="00AA084B" w:rsidRPr="00777326">
        <w:t xml:space="preserve"> that</w:t>
      </w:r>
      <w:r w:rsidR="00404E6D" w:rsidRPr="00777326">
        <w:t>: 1)</w:t>
      </w:r>
      <w:r w:rsidR="00AA084B" w:rsidRPr="00777326">
        <w:t xml:space="preserve"> </w:t>
      </w:r>
      <w:r w:rsidR="00404E6D" w:rsidRPr="00777326">
        <w:t>may cause</w:t>
      </w:r>
      <w:r w:rsidR="00660641" w:rsidRPr="00777326">
        <w:t xml:space="preserve"> changes in </w:t>
      </w:r>
      <w:r w:rsidRPr="00777326">
        <w:t xml:space="preserve">the </w:t>
      </w:r>
      <w:r w:rsidR="00660641" w:rsidRPr="00777326">
        <w:t xml:space="preserve">body that </w:t>
      </w:r>
      <w:r w:rsidR="0029197A" w:rsidRPr="00777326">
        <w:t>alter</w:t>
      </w:r>
      <w:r w:rsidR="00660641" w:rsidRPr="00777326">
        <w:t xml:space="preserve"> the immune system and the body’s tissues</w:t>
      </w:r>
      <w:r w:rsidR="00484F5D" w:rsidRPr="00777326">
        <w:t>, and</w:t>
      </w:r>
      <w:r w:rsidR="00404E6D" w:rsidRPr="00777326">
        <w:t xml:space="preserve"> 2) are</w:t>
      </w:r>
      <w:r w:rsidR="00484F5D" w:rsidRPr="00777326">
        <w:t xml:space="preserve"> the primary cause of tooth loss in older adults</w:t>
      </w:r>
      <w:r w:rsidR="00660641" w:rsidRPr="00777326">
        <w:t xml:space="preserve">. </w:t>
      </w:r>
      <w:r w:rsidR="00E14F32" w:rsidRPr="00777326">
        <w:t xml:space="preserve"> </w:t>
      </w:r>
      <w:r w:rsidR="00AA084B" w:rsidRPr="00777326">
        <w:rPr>
          <w:bCs/>
          <w:iCs/>
        </w:rPr>
        <w:t xml:space="preserve">Poor </w:t>
      </w:r>
      <w:r w:rsidR="00484F5D" w:rsidRPr="00777326">
        <w:rPr>
          <w:bCs/>
          <w:iCs/>
        </w:rPr>
        <w:t>oral health is associated with</w:t>
      </w:r>
      <w:r w:rsidR="00AA084B" w:rsidRPr="00777326">
        <w:t xml:space="preserve"> </w:t>
      </w:r>
      <w:r w:rsidR="00484F5D" w:rsidRPr="00777326">
        <w:rPr>
          <w:bCs/>
          <w:iCs/>
        </w:rPr>
        <w:t>serious chronic diseases</w:t>
      </w:r>
      <w:r w:rsidR="00C82849" w:rsidRPr="00777326">
        <w:rPr>
          <w:bCs/>
          <w:iCs/>
        </w:rPr>
        <w:t xml:space="preserve"> </w:t>
      </w:r>
      <w:r w:rsidR="00404E6D" w:rsidRPr="00777326">
        <w:rPr>
          <w:bCs/>
          <w:iCs/>
        </w:rPr>
        <w:t>and inadequate nutrition,</w:t>
      </w:r>
      <w:r w:rsidR="00AA084B" w:rsidRPr="00777326">
        <w:rPr>
          <w:bCs/>
          <w:iCs/>
        </w:rPr>
        <w:t xml:space="preserve"> and can lead to increased hospital use. </w:t>
      </w:r>
      <w:r w:rsidR="00B61F30" w:rsidRPr="00777326">
        <w:t>When people with minor oral infections do not receive treatment, their conditions can progress to cellulitis, systemic inf</w:t>
      </w:r>
      <w:r w:rsidR="000E190B" w:rsidRPr="00777326">
        <w:t xml:space="preserve">ection, </w:t>
      </w:r>
      <w:r w:rsidR="00717490" w:rsidRPr="00777326">
        <w:t xml:space="preserve">and </w:t>
      </w:r>
      <w:r w:rsidR="000E190B" w:rsidRPr="00777326">
        <w:t xml:space="preserve">death in some cases </w:t>
      </w:r>
      <w:r w:rsidR="003D1EDE" w:rsidRPr="00777326">
        <w:t>(</w:t>
      </w:r>
      <w:proofErr w:type="spellStart"/>
      <w:r w:rsidR="003D1EDE" w:rsidRPr="00777326">
        <w:t>Allareddy</w:t>
      </w:r>
      <w:proofErr w:type="spellEnd"/>
      <w:r w:rsidR="003D1EDE" w:rsidRPr="00777326">
        <w:t xml:space="preserve"> et al.</w:t>
      </w:r>
      <w:r w:rsidR="00B61F30" w:rsidRPr="00777326">
        <w:t xml:space="preserve">, 2014). </w:t>
      </w:r>
      <w:r w:rsidR="00660641" w:rsidRPr="00777326">
        <w:t xml:space="preserve"> </w:t>
      </w:r>
      <w:r w:rsidR="00B61F30" w:rsidRPr="00777326">
        <w:t>“</w:t>
      </w:r>
      <w:r w:rsidR="00660641" w:rsidRPr="00777326">
        <w:rPr>
          <w:rFonts w:cs="Arial"/>
          <w:iCs/>
        </w:rPr>
        <w:t>Dry mouth,</w:t>
      </w:r>
      <w:r w:rsidR="00B61F30" w:rsidRPr="00777326">
        <w:rPr>
          <w:rFonts w:cs="Arial"/>
          <w:iCs/>
        </w:rPr>
        <w:t>”</w:t>
      </w:r>
      <w:r w:rsidR="00660641" w:rsidRPr="00777326">
        <w:rPr>
          <w:rFonts w:cs="Arial"/>
          <w:iCs/>
        </w:rPr>
        <w:t xml:space="preserve"> which can result from a number of medications</w:t>
      </w:r>
      <w:r w:rsidR="00D745FE" w:rsidRPr="00777326">
        <w:rPr>
          <w:rFonts w:cs="Arial"/>
          <w:iCs/>
        </w:rPr>
        <w:t xml:space="preserve"> that older adults and</w:t>
      </w:r>
      <w:r w:rsidR="00AA084B" w:rsidRPr="00777326">
        <w:rPr>
          <w:rFonts w:cs="Arial"/>
          <w:iCs/>
        </w:rPr>
        <w:t xml:space="preserve"> people with disabilities may </w:t>
      </w:r>
      <w:r w:rsidR="00D745FE" w:rsidRPr="00777326">
        <w:rPr>
          <w:rFonts w:cs="Arial"/>
          <w:iCs/>
        </w:rPr>
        <w:t>use</w:t>
      </w:r>
      <w:r w:rsidRPr="00777326">
        <w:rPr>
          <w:rFonts w:cs="Arial"/>
          <w:iCs/>
        </w:rPr>
        <w:t>,</w:t>
      </w:r>
      <w:r w:rsidR="00660641" w:rsidRPr="00777326">
        <w:rPr>
          <w:rFonts w:cs="Arial"/>
          <w:iCs/>
        </w:rPr>
        <w:t xml:space="preserve"> can lead to increased risk of oral disease, </w:t>
      </w:r>
      <w:r w:rsidR="006C6558" w:rsidRPr="00777326">
        <w:rPr>
          <w:rFonts w:cs="Arial"/>
          <w:iCs/>
        </w:rPr>
        <w:t xml:space="preserve">including </w:t>
      </w:r>
      <w:r w:rsidR="00660641" w:rsidRPr="00777326">
        <w:rPr>
          <w:rFonts w:cs="Arial"/>
          <w:iCs/>
        </w:rPr>
        <w:t>tooth decay</w:t>
      </w:r>
      <w:r w:rsidR="006C6558" w:rsidRPr="00777326">
        <w:rPr>
          <w:rFonts w:cs="Arial"/>
          <w:iCs/>
        </w:rPr>
        <w:t xml:space="preserve"> and</w:t>
      </w:r>
      <w:r w:rsidR="000E190B" w:rsidRPr="00777326">
        <w:rPr>
          <w:rFonts w:cs="Arial"/>
          <w:iCs/>
        </w:rPr>
        <w:t xml:space="preserve"> soft tissue </w:t>
      </w:r>
      <w:r w:rsidR="006C6558" w:rsidRPr="00777326">
        <w:rPr>
          <w:rFonts w:cs="Arial"/>
          <w:iCs/>
        </w:rPr>
        <w:t>problems</w:t>
      </w:r>
      <w:r w:rsidR="00660641" w:rsidRPr="00777326">
        <w:rPr>
          <w:rFonts w:cs="Arial"/>
          <w:iCs/>
        </w:rPr>
        <w:t xml:space="preserve"> (</w:t>
      </w:r>
      <w:proofErr w:type="spellStart"/>
      <w:r w:rsidR="00660641" w:rsidRPr="00777326">
        <w:rPr>
          <w:rFonts w:cs="Arial"/>
          <w:iCs/>
        </w:rPr>
        <w:t>Berkey</w:t>
      </w:r>
      <w:proofErr w:type="spellEnd"/>
      <w:r w:rsidR="00660641" w:rsidRPr="00777326">
        <w:rPr>
          <w:rFonts w:cs="Arial"/>
          <w:iCs/>
        </w:rPr>
        <w:t xml:space="preserve"> and </w:t>
      </w:r>
      <w:proofErr w:type="spellStart"/>
      <w:r w:rsidR="00660641" w:rsidRPr="00777326">
        <w:rPr>
          <w:rFonts w:cs="Arial"/>
          <w:iCs/>
        </w:rPr>
        <w:t>Scannapieceo</w:t>
      </w:r>
      <w:proofErr w:type="spellEnd"/>
      <w:r w:rsidR="00660641" w:rsidRPr="00777326">
        <w:rPr>
          <w:rFonts w:cs="Arial"/>
          <w:iCs/>
        </w:rPr>
        <w:t>, 2013)</w:t>
      </w:r>
      <w:r w:rsidR="000E190B" w:rsidRPr="00777326">
        <w:rPr>
          <w:rFonts w:cs="Arial"/>
          <w:iCs/>
        </w:rPr>
        <w:t xml:space="preserve">. </w:t>
      </w:r>
      <w:r w:rsidRPr="00777326">
        <w:rPr>
          <w:rFonts w:cs="Arial"/>
          <w:iCs/>
        </w:rPr>
        <w:t xml:space="preserve"> </w:t>
      </w:r>
    </w:p>
    <w:p w14:paraId="01FCAFA6" w14:textId="4B202894" w:rsidR="00E46146" w:rsidRPr="00D84566" w:rsidRDefault="00D84566" w:rsidP="00D84566">
      <w:pPr>
        <w:pStyle w:val="Heading1"/>
        <w:ind w:left="720"/>
        <w:rPr>
          <w:rFonts w:ascii="Calibri" w:hAnsi="Calibri"/>
          <w:color w:val="auto"/>
          <w:sz w:val="22"/>
          <w:szCs w:val="22"/>
        </w:rPr>
      </w:pPr>
      <w:proofErr w:type="gramStart"/>
      <w:r w:rsidRPr="00D84566">
        <w:rPr>
          <w:rFonts w:ascii="Calibri" w:hAnsi="Calibri"/>
          <w:color w:val="auto"/>
          <w:sz w:val="22"/>
          <w:szCs w:val="22"/>
        </w:rPr>
        <w:t>2</w:t>
      </w:r>
      <w:r w:rsidR="00E46146" w:rsidRPr="00D84566">
        <w:rPr>
          <w:rFonts w:ascii="Calibri" w:hAnsi="Calibri"/>
          <w:color w:val="auto"/>
          <w:sz w:val="22"/>
          <w:szCs w:val="22"/>
        </w:rPr>
        <w:t>.a</w:t>
      </w:r>
      <w:proofErr w:type="gramEnd"/>
      <w:r w:rsidR="00E46146" w:rsidRPr="00D84566">
        <w:rPr>
          <w:rFonts w:ascii="Calibri" w:hAnsi="Calibri"/>
          <w:color w:val="auto"/>
          <w:sz w:val="22"/>
          <w:szCs w:val="22"/>
        </w:rPr>
        <w:t>. Chronic Conditions</w:t>
      </w:r>
    </w:p>
    <w:p w14:paraId="55EB2DAC" w14:textId="42E1C00A" w:rsidR="00E46146" w:rsidRPr="00777326" w:rsidRDefault="000E190B" w:rsidP="00E46146">
      <w:pPr>
        <w:spacing w:line="240" w:lineRule="auto"/>
      </w:pPr>
      <w:r w:rsidRPr="00777326">
        <w:rPr>
          <w:rFonts w:cs="Arial"/>
          <w:bCs/>
          <w:iCs/>
        </w:rPr>
        <w:t>P</w:t>
      </w:r>
      <w:r w:rsidR="00E46146" w:rsidRPr="00777326">
        <w:rPr>
          <w:rFonts w:cs="Arial"/>
          <w:bCs/>
          <w:iCs/>
        </w:rPr>
        <w:t>oor oral health can contribute to changes in diet, weight, and physical function</w:t>
      </w:r>
      <w:r w:rsidR="00C72594" w:rsidRPr="00777326">
        <w:rPr>
          <w:rFonts w:cs="Arial"/>
          <w:bCs/>
          <w:iCs/>
        </w:rPr>
        <w:t xml:space="preserve"> and</w:t>
      </w:r>
      <w:r w:rsidR="00E46146" w:rsidRPr="00777326">
        <w:rPr>
          <w:rFonts w:cs="Arial"/>
          <w:bCs/>
          <w:iCs/>
        </w:rPr>
        <w:t xml:space="preserve"> increase risks for chronic diseases</w:t>
      </w:r>
      <w:r w:rsidR="0013256A" w:rsidRPr="00777326">
        <w:rPr>
          <w:rFonts w:cs="Arial"/>
          <w:bCs/>
          <w:iCs/>
        </w:rPr>
        <w:t xml:space="preserve"> (</w:t>
      </w:r>
      <w:r w:rsidR="00F40026" w:rsidRPr="00777326">
        <w:rPr>
          <w:rFonts w:cs="Arial"/>
          <w:bCs/>
          <w:iCs/>
        </w:rPr>
        <w:t>Griffin et al.</w:t>
      </w:r>
      <w:r w:rsidR="00E46146" w:rsidRPr="00777326">
        <w:rPr>
          <w:rFonts w:cs="Arial"/>
          <w:bCs/>
          <w:iCs/>
        </w:rPr>
        <w:t>, 2012)</w:t>
      </w:r>
      <w:r w:rsidR="0013256A" w:rsidRPr="00777326">
        <w:rPr>
          <w:rFonts w:cs="Arial"/>
          <w:bCs/>
          <w:iCs/>
        </w:rPr>
        <w:t xml:space="preserve">. </w:t>
      </w:r>
      <w:r w:rsidR="00E46146" w:rsidRPr="00777326">
        <w:rPr>
          <w:rFonts w:cs="Arial"/>
          <w:bCs/>
          <w:iCs/>
        </w:rPr>
        <w:t xml:space="preserve"> Oral infections are </w:t>
      </w:r>
      <w:r w:rsidR="00484F5D" w:rsidRPr="00777326">
        <w:rPr>
          <w:rFonts w:cs="Arial"/>
          <w:bCs/>
          <w:iCs/>
        </w:rPr>
        <w:t xml:space="preserve">associated with </w:t>
      </w:r>
      <w:r w:rsidR="00E46146" w:rsidRPr="00777326">
        <w:rPr>
          <w:rFonts w:cs="Arial"/>
          <w:bCs/>
          <w:iCs/>
        </w:rPr>
        <w:t>heart disease, stroke, diabetes, respiratory disease, cognitive impairment, and oral-digestive tract cancers</w:t>
      </w:r>
      <w:r w:rsidR="00E46146" w:rsidRPr="00777326">
        <w:t xml:space="preserve"> </w:t>
      </w:r>
      <w:r w:rsidR="00E46146" w:rsidRPr="00777326">
        <w:rPr>
          <w:rFonts w:cs="Arial"/>
          <w:bCs/>
          <w:iCs/>
        </w:rPr>
        <w:t xml:space="preserve">(Eke </w:t>
      </w:r>
      <w:r w:rsidR="00F40026" w:rsidRPr="00777326">
        <w:rPr>
          <w:rFonts w:cs="Arial"/>
          <w:bCs/>
          <w:iCs/>
        </w:rPr>
        <w:t>et al.,</w:t>
      </w:r>
      <w:r w:rsidR="00E46146" w:rsidRPr="00777326">
        <w:rPr>
          <w:rFonts w:cs="Arial"/>
          <w:bCs/>
          <w:iCs/>
        </w:rPr>
        <w:t xml:space="preserve"> 2016)</w:t>
      </w:r>
      <w:r w:rsidR="00AA084B" w:rsidRPr="00777326">
        <w:rPr>
          <w:rFonts w:cs="Arial"/>
          <w:bCs/>
          <w:iCs/>
        </w:rPr>
        <w:t>.</w:t>
      </w:r>
      <w:r w:rsidR="00E46146" w:rsidRPr="00777326">
        <w:rPr>
          <w:rFonts w:cs="Arial"/>
          <w:bCs/>
          <w:iCs/>
        </w:rPr>
        <w:t xml:space="preserve">  </w:t>
      </w:r>
      <w:r w:rsidR="00E46146" w:rsidRPr="00777326">
        <w:t xml:space="preserve">The </w:t>
      </w:r>
      <w:r w:rsidR="00E46146" w:rsidRPr="00777326">
        <w:lastRenderedPageBreak/>
        <w:t>strongest associations are for cardiovascular and respiratory disease, as w</w:t>
      </w:r>
      <w:r w:rsidR="00C72594" w:rsidRPr="00777326">
        <w:t>ell as exacerbation of diabetes</w:t>
      </w:r>
      <w:r w:rsidR="00E46146" w:rsidRPr="00777326">
        <w:t xml:space="preserve"> (</w:t>
      </w:r>
      <w:proofErr w:type="spellStart"/>
      <w:r w:rsidR="00E46146" w:rsidRPr="00777326">
        <w:t>Berkey</w:t>
      </w:r>
      <w:proofErr w:type="spellEnd"/>
      <w:r w:rsidR="00E46146" w:rsidRPr="00777326">
        <w:t xml:space="preserve"> and </w:t>
      </w:r>
      <w:proofErr w:type="spellStart"/>
      <w:r w:rsidR="00E46146" w:rsidRPr="00777326">
        <w:t>Scannapeiceo</w:t>
      </w:r>
      <w:proofErr w:type="spellEnd"/>
      <w:r w:rsidR="00E46146" w:rsidRPr="00777326">
        <w:t>, 2013)</w:t>
      </w:r>
      <w:r w:rsidR="00C72594" w:rsidRPr="00777326">
        <w:t>.</w:t>
      </w:r>
      <w:r w:rsidR="00E46146" w:rsidRPr="00777326">
        <w:t xml:space="preserve"> For example:</w:t>
      </w:r>
    </w:p>
    <w:p w14:paraId="3A440C6F" w14:textId="624FB766" w:rsidR="00E46146" w:rsidRPr="00777326" w:rsidRDefault="00E46146" w:rsidP="00E46146">
      <w:pPr>
        <w:pStyle w:val="ListParagraph"/>
        <w:numPr>
          <w:ilvl w:val="0"/>
          <w:numId w:val="8"/>
        </w:numPr>
        <w:spacing w:line="240" w:lineRule="auto"/>
      </w:pPr>
      <w:r w:rsidRPr="00777326">
        <w:rPr>
          <w:rFonts w:cs="Arial"/>
          <w:iCs/>
        </w:rPr>
        <w:t>The number of missing teeth at baseline is associated with higher incidence over 13 years of cardiovascular disease risk factors and events, heart attacks, diabetes, and death after controlling for demographic fac</w:t>
      </w:r>
      <w:r w:rsidR="00F40026" w:rsidRPr="00777326">
        <w:rPr>
          <w:rFonts w:cs="Arial"/>
          <w:iCs/>
        </w:rPr>
        <w:t>tors (</w:t>
      </w:r>
      <w:proofErr w:type="spellStart"/>
      <w:r w:rsidR="00F40026" w:rsidRPr="00777326">
        <w:rPr>
          <w:rFonts w:cs="Arial"/>
          <w:iCs/>
        </w:rPr>
        <w:t>Liljestrand</w:t>
      </w:r>
      <w:proofErr w:type="spellEnd"/>
      <w:r w:rsidR="00F40026" w:rsidRPr="00777326">
        <w:rPr>
          <w:rFonts w:cs="Arial"/>
          <w:iCs/>
        </w:rPr>
        <w:t xml:space="preserve"> et al.</w:t>
      </w:r>
      <w:r w:rsidRPr="00777326">
        <w:rPr>
          <w:rFonts w:cs="Arial"/>
          <w:iCs/>
        </w:rPr>
        <w:t>, 2015)</w:t>
      </w:r>
      <w:r w:rsidR="00C72594" w:rsidRPr="00777326">
        <w:rPr>
          <w:rFonts w:cs="Arial"/>
          <w:iCs/>
        </w:rPr>
        <w:t>.</w:t>
      </w:r>
      <w:r w:rsidRPr="00777326">
        <w:rPr>
          <w:rFonts w:cs="Arial"/>
          <w:iCs/>
        </w:rPr>
        <w:t xml:space="preserve"> </w:t>
      </w:r>
    </w:p>
    <w:p w14:paraId="5F9DCCD9" w14:textId="2049E179" w:rsidR="00E46146" w:rsidRPr="00777326" w:rsidRDefault="00E46146" w:rsidP="00E46146">
      <w:pPr>
        <w:pStyle w:val="ListParagraph"/>
        <w:numPr>
          <w:ilvl w:val="0"/>
          <w:numId w:val="8"/>
        </w:numPr>
        <w:spacing w:line="240" w:lineRule="auto"/>
      </w:pPr>
      <w:r w:rsidRPr="00777326">
        <w:rPr>
          <w:rFonts w:cs="Arial"/>
          <w:iCs/>
        </w:rPr>
        <w:t>A meta-analysis of 22 articles showed that the risk of developing cardiovascular disease was 34% higher among people with periodontal disease than th</w:t>
      </w:r>
      <w:r w:rsidR="00C72594" w:rsidRPr="00777326">
        <w:rPr>
          <w:rFonts w:cs="Arial"/>
          <w:iCs/>
        </w:rPr>
        <w:t>ose without</w:t>
      </w:r>
      <w:r w:rsidR="00F40026" w:rsidRPr="00777326">
        <w:rPr>
          <w:rFonts w:cs="Arial"/>
          <w:iCs/>
        </w:rPr>
        <w:t xml:space="preserve"> (</w:t>
      </w:r>
      <w:proofErr w:type="spellStart"/>
      <w:r w:rsidR="00F40026" w:rsidRPr="00777326">
        <w:rPr>
          <w:rFonts w:cs="Arial"/>
          <w:iCs/>
        </w:rPr>
        <w:t>Blaizot</w:t>
      </w:r>
      <w:proofErr w:type="spellEnd"/>
      <w:r w:rsidR="00F40026" w:rsidRPr="00777326">
        <w:rPr>
          <w:rFonts w:cs="Arial"/>
          <w:iCs/>
        </w:rPr>
        <w:t xml:space="preserve"> et al.</w:t>
      </w:r>
      <w:r w:rsidRPr="00777326">
        <w:rPr>
          <w:rFonts w:cs="Arial"/>
          <w:iCs/>
        </w:rPr>
        <w:t>, 2009)</w:t>
      </w:r>
      <w:r w:rsidR="00C72594" w:rsidRPr="00777326">
        <w:rPr>
          <w:rFonts w:cs="Arial"/>
          <w:iCs/>
        </w:rPr>
        <w:t>.</w:t>
      </w:r>
      <w:r w:rsidRPr="00777326">
        <w:rPr>
          <w:rFonts w:cs="Arial"/>
          <w:iCs/>
        </w:rPr>
        <w:t xml:space="preserve"> </w:t>
      </w:r>
    </w:p>
    <w:p w14:paraId="43C88875" w14:textId="468CB227" w:rsidR="00E46146" w:rsidRPr="00777326" w:rsidRDefault="00E46146" w:rsidP="00E46146">
      <w:pPr>
        <w:pStyle w:val="ListParagraph"/>
        <w:numPr>
          <w:ilvl w:val="0"/>
          <w:numId w:val="8"/>
        </w:numPr>
        <w:spacing w:line="240" w:lineRule="auto"/>
        <w:rPr>
          <w:rFonts w:cs="Arial"/>
          <w:iCs/>
        </w:rPr>
      </w:pPr>
      <w:r w:rsidRPr="00777326">
        <w:rPr>
          <w:rFonts w:cs="Arial"/>
          <w:iCs/>
        </w:rPr>
        <w:t xml:space="preserve">Poor oral health is linked to pneumonia in older nursing home residents, which can </w:t>
      </w:r>
      <w:r w:rsidR="00717490" w:rsidRPr="00777326">
        <w:rPr>
          <w:rFonts w:cs="Arial"/>
          <w:iCs/>
        </w:rPr>
        <w:t xml:space="preserve">lead to </w:t>
      </w:r>
      <w:r w:rsidRPr="00777326">
        <w:rPr>
          <w:rFonts w:cs="Arial"/>
          <w:iCs/>
        </w:rPr>
        <w:t xml:space="preserve">hospitalization, intensive care unit (ICU) use, and death. </w:t>
      </w:r>
      <w:r w:rsidR="00C72594" w:rsidRPr="00777326">
        <w:rPr>
          <w:rFonts w:cs="Arial"/>
          <w:iCs/>
        </w:rPr>
        <w:t>Pneumonia can result from b</w:t>
      </w:r>
      <w:r w:rsidRPr="00777326">
        <w:rPr>
          <w:rFonts w:cs="Arial"/>
          <w:iCs/>
        </w:rPr>
        <w:t>acteria in residents’</w:t>
      </w:r>
      <w:r w:rsidR="00C72594" w:rsidRPr="00777326">
        <w:rPr>
          <w:rFonts w:cs="Arial"/>
          <w:iCs/>
        </w:rPr>
        <w:t xml:space="preserve"> mouths moving</w:t>
      </w:r>
      <w:r w:rsidRPr="00777326">
        <w:rPr>
          <w:rFonts w:cs="Arial"/>
          <w:iCs/>
        </w:rPr>
        <w:t xml:space="preserve"> into their respiratory tract through such</w:t>
      </w:r>
      <w:r w:rsidR="00C72594" w:rsidRPr="00777326">
        <w:rPr>
          <w:rFonts w:cs="Arial"/>
          <w:iCs/>
        </w:rPr>
        <w:t xml:space="preserve"> events as</w:t>
      </w:r>
      <w:r w:rsidR="00484F5D" w:rsidRPr="00777326">
        <w:rPr>
          <w:rFonts w:cs="Arial"/>
          <w:iCs/>
        </w:rPr>
        <w:t xml:space="preserve"> </w:t>
      </w:r>
      <w:r w:rsidR="00C72594" w:rsidRPr="00777326">
        <w:rPr>
          <w:rFonts w:cs="Arial"/>
          <w:iCs/>
        </w:rPr>
        <w:t>aspiration of saliva</w:t>
      </w:r>
      <w:r w:rsidRPr="00777326">
        <w:rPr>
          <w:rFonts w:cs="Arial"/>
          <w:iCs/>
        </w:rPr>
        <w:t xml:space="preserve"> (</w:t>
      </w:r>
      <w:proofErr w:type="spellStart"/>
      <w:r w:rsidRPr="00777326">
        <w:rPr>
          <w:rFonts w:cs="Arial"/>
          <w:iCs/>
        </w:rPr>
        <w:t>Paju</w:t>
      </w:r>
      <w:proofErr w:type="spellEnd"/>
      <w:r w:rsidRPr="00777326">
        <w:rPr>
          <w:rFonts w:cs="Arial"/>
          <w:iCs/>
        </w:rPr>
        <w:t xml:space="preserve"> and </w:t>
      </w:r>
      <w:proofErr w:type="spellStart"/>
      <w:r w:rsidRPr="00777326">
        <w:rPr>
          <w:rFonts w:cs="Arial"/>
          <w:iCs/>
        </w:rPr>
        <w:t>Scannapieco</w:t>
      </w:r>
      <w:proofErr w:type="spellEnd"/>
      <w:r w:rsidRPr="00777326">
        <w:rPr>
          <w:rFonts w:cs="Arial"/>
          <w:iCs/>
        </w:rPr>
        <w:t>, 2007)</w:t>
      </w:r>
      <w:r w:rsidR="00C72594" w:rsidRPr="00777326">
        <w:rPr>
          <w:rFonts w:cs="Arial"/>
          <w:iCs/>
        </w:rPr>
        <w:t>.</w:t>
      </w:r>
    </w:p>
    <w:p w14:paraId="7F27D25B" w14:textId="569FBAA8" w:rsidR="00E46146" w:rsidRPr="00777326" w:rsidRDefault="00717490" w:rsidP="00E46146">
      <w:pPr>
        <w:pStyle w:val="ListParagraph"/>
        <w:numPr>
          <w:ilvl w:val="0"/>
          <w:numId w:val="8"/>
        </w:numPr>
        <w:spacing w:line="240" w:lineRule="auto"/>
        <w:rPr>
          <w:rFonts w:cs="Arial"/>
          <w:iCs/>
        </w:rPr>
      </w:pPr>
      <w:r w:rsidRPr="00777326">
        <w:rPr>
          <w:rFonts w:cs="Arial"/>
          <w:iCs/>
        </w:rPr>
        <w:t xml:space="preserve">People </w:t>
      </w:r>
      <w:r w:rsidR="00E46146" w:rsidRPr="00777326">
        <w:rPr>
          <w:rFonts w:cs="Arial"/>
          <w:iCs/>
        </w:rPr>
        <w:t>with diabetes who have periodontitis may experience accelerated pancreatic failure and vascula</w:t>
      </w:r>
      <w:r w:rsidR="00F40026" w:rsidRPr="00777326">
        <w:rPr>
          <w:rFonts w:cs="Arial"/>
          <w:iCs/>
        </w:rPr>
        <w:t>r disease (Hummel et al.</w:t>
      </w:r>
      <w:r w:rsidR="00E46146" w:rsidRPr="00777326">
        <w:rPr>
          <w:rFonts w:cs="Arial"/>
          <w:iCs/>
        </w:rPr>
        <w:t>, 2015)</w:t>
      </w:r>
      <w:r w:rsidR="00C72594" w:rsidRPr="00777326">
        <w:rPr>
          <w:rFonts w:cs="Arial"/>
          <w:iCs/>
        </w:rPr>
        <w:t>.</w:t>
      </w:r>
      <w:r w:rsidR="00E46146" w:rsidRPr="00777326">
        <w:rPr>
          <w:rFonts w:cs="Arial"/>
          <w:iCs/>
        </w:rPr>
        <w:t xml:space="preserve"> </w:t>
      </w:r>
    </w:p>
    <w:p w14:paraId="35BDF5CE" w14:textId="5253151E" w:rsidR="00094F48" w:rsidRPr="00D84566" w:rsidRDefault="00D84566" w:rsidP="00D84566">
      <w:pPr>
        <w:pStyle w:val="Heading1"/>
        <w:ind w:left="720"/>
        <w:rPr>
          <w:rFonts w:ascii="Calibri" w:hAnsi="Calibri"/>
          <w:color w:val="auto"/>
          <w:sz w:val="22"/>
          <w:szCs w:val="22"/>
        </w:rPr>
      </w:pPr>
      <w:proofErr w:type="gramStart"/>
      <w:r w:rsidRPr="00D84566">
        <w:rPr>
          <w:rFonts w:ascii="Calibri" w:hAnsi="Calibri"/>
          <w:color w:val="auto"/>
          <w:sz w:val="22"/>
          <w:szCs w:val="22"/>
        </w:rPr>
        <w:t>2</w:t>
      </w:r>
      <w:r w:rsidR="00E46146" w:rsidRPr="00D84566">
        <w:rPr>
          <w:rFonts w:ascii="Calibri" w:hAnsi="Calibri"/>
          <w:color w:val="auto"/>
          <w:sz w:val="22"/>
          <w:szCs w:val="22"/>
        </w:rPr>
        <w:t>.b</w:t>
      </w:r>
      <w:proofErr w:type="gramEnd"/>
      <w:r w:rsidR="007A13AA" w:rsidRPr="00D84566">
        <w:rPr>
          <w:rFonts w:ascii="Calibri" w:hAnsi="Calibri"/>
          <w:color w:val="auto"/>
          <w:sz w:val="22"/>
          <w:szCs w:val="22"/>
        </w:rPr>
        <w:t xml:space="preserve">. </w:t>
      </w:r>
      <w:r w:rsidR="00094F48" w:rsidRPr="00D84566">
        <w:rPr>
          <w:rFonts w:ascii="Calibri" w:hAnsi="Calibri"/>
          <w:color w:val="auto"/>
          <w:sz w:val="22"/>
          <w:szCs w:val="22"/>
        </w:rPr>
        <w:t>Hospital Use</w:t>
      </w:r>
    </w:p>
    <w:p w14:paraId="538BA658" w14:textId="63D2DF7E" w:rsidR="00E40439" w:rsidRPr="00777326" w:rsidRDefault="00E40439" w:rsidP="00E40439">
      <w:pPr>
        <w:spacing w:line="240" w:lineRule="auto"/>
      </w:pPr>
      <w:r w:rsidRPr="00777326">
        <w:t xml:space="preserve">When people do not receive treatment for oral infections, they can become quite </w:t>
      </w:r>
      <w:r w:rsidR="00DD7447" w:rsidRPr="00777326">
        <w:t xml:space="preserve">sick </w:t>
      </w:r>
      <w:r w:rsidRPr="00777326">
        <w:t>due to infection</w:t>
      </w:r>
      <w:r w:rsidR="00DD7447" w:rsidRPr="00777326">
        <w:t xml:space="preserve"> and the associated pain</w:t>
      </w:r>
      <w:r w:rsidR="00484F5D" w:rsidRPr="00777326">
        <w:t xml:space="preserve">, and </w:t>
      </w:r>
      <w:r w:rsidR="00DD1907" w:rsidRPr="00777326">
        <w:t xml:space="preserve">may </w:t>
      </w:r>
      <w:r w:rsidR="009A1814" w:rsidRPr="00777326">
        <w:t>even die</w:t>
      </w:r>
      <w:r w:rsidRPr="00777326">
        <w:t xml:space="preserve">. </w:t>
      </w:r>
      <w:r w:rsidR="00E14F32" w:rsidRPr="00777326">
        <w:t xml:space="preserve"> </w:t>
      </w:r>
      <w:r w:rsidRPr="00777326">
        <w:t xml:space="preserve">Use of hospital emergency departments and inpatient services may increase </w:t>
      </w:r>
      <w:r w:rsidR="00717490" w:rsidRPr="00777326">
        <w:t xml:space="preserve">as a result </w:t>
      </w:r>
      <w:r w:rsidRPr="00777326">
        <w:t xml:space="preserve">(Oral Health America, 2016; Wall and </w:t>
      </w:r>
      <w:proofErr w:type="spellStart"/>
      <w:r w:rsidRPr="00777326">
        <w:t>Vujicic</w:t>
      </w:r>
      <w:proofErr w:type="spellEnd"/>
      <w:r w:rsidRPr="00777326">
        <w:t xml:space="preserve">, 2015).  Lack of Medicaid coverage for </w:t>
      </w:r>
      <w:r w:rsidR="006C6558" w:rsidRPr="00777326">
        <w:t xml:space="preserve">adult </w:t>
      </w:r>
      <w:r w:rsidR="00A06BF0" w:rsidRPr="00777326">
        <w:t>dental services also contributed</w:t>
      </w:r>
      <w:r w:rsidRPr="00777326">
        <w:t xml:space="preserve"> to higher hospital </w:t>
      </w:r>
      <w:r w:rsidR="00DD1907" w:rsidRPr="00777326">
        <w:t>emergency d</w:t>
      </w:r>
      <w:r w:rsidR="00717490" w:rsidRPr="00777326">
        <w:t>epartment (</w:t>
      </w:r>
      <w:r w:rsidRPr="00777326">
        <w:t>ED</w:t>
      </w:r>
      <w:r w:rsidR="00717490" w:rsidRPr="00777326">
        <w:t>)</w:t>
      </w:r>
      <w:r w:rsidRPr="00777326">
        <w:t xml:space="preserve"> use</w:t>
      </w:r>
      <w:r w:rsidR="00E4446C" w:rsidRPr="00777326">
        <w:t xml:space="preserve"> in 3 states</w:t>
      </w:r>
      <w:r w:rsidRPr="00777326">
        <w:t xml:space="preserve">. </w:t>
      </w:r>
    </w:p>
    <w:p w14:paraId="2F7954E3" w14:textId="6CB88533" w:rsidR="00A12284" w:rsidRPr="00777326" w:rsidRDefault="003A0C1A" w:rsidP="003A0C1A">
      <w:pPr>
        <w:pStyle w:val="ListParagraph"/>
        <w:numPr>
          <w:ilvl w:val="0"/>
          <w:numId w:val="12"/>
        </w:numPr>
        <w:spacing w:line="240" w:lineRule="auto"/>
        <w:rPr>
          <w:rFonts w:cs="Arial"/>
          <w:bCs/>
          <w:iCs/>
        </w:rPr>
      </w:pPr>
      <w:proofErr w:type="spellStart"/>
      <w:r w:rsidRPr="00777326">
        <w:rPr>
          <w:rFonts w:cs="Arial"/>
          <w:bCs/>
          <w:iCs/>
        </w:rPr>
        <w:t>Allareddy</w:t>
      </w:r>
      <w:proofErr w:type="spellEnd"/>
      <w:r w:rsidRPr="00777326">
        <w:rPr>
          <w:rFonts w:cs="Arial"/>
          <w:bCs/>
          <w:iCs/>
        </w:rPr>
        <w:t xml:space="preserve"> and colleagues (2014) used the 2008-2010 Nationwide Emergency Department Sample to identify visits that involved patients with dental caries</w:t>
      </w:r>
      <w:r w:rsidR="00DD1907" w:rsidRPr="00777326">
        <w:rPr>
          <w:rStyle w:val="FootnoteReference"/>
          <w:rFonts w:cs="Arial"/>
          <w:bCs/>
          <w:iCs/>
        </w:rPr>
        <w:footnoteReference w:id="2"/>
      </w:r>
      <w:r w:rsidR="0029197A" w:rsidRPr="00777326">
        <w:rPr>
          <w:rFonts w:cs="Arial"/>
          <w:bCs/>
          <w:iCs/>
        </w:rPr>
        <w:t xml:space="preserve"> </w:t>
      </w:r>
      <w:r w:rsidR="00E4446C" w:rsidRPr="00777326">
        <w:rPr>
          <w:rFonts w:cs="Arial"/>
          <w:bCs/>
          <w:iCs/>
        </w:rPr>
        <w:t xml:space="preserve">or </w:t>
      </w:r>
      <w:r w:rsidR="00D55FC1" w:rsidRPr="00777326">
        <w:rPr>
          <w:rFonts w:cs="Arial"/>
          <w:bCs/>
          <w:iCs/>
        </w:rPr>
        <w:t xml:space="preserve">other </w:t>
      </w:r>
      <w:r w:rsidR="00E4446C" w:rsidRPr="00777326">
        <w:rPr>
          <w:rFonts w:cs="Arial"/>
          <w:bCs/>
          <w:iCs/>
        </w:rPr>
        <w:t>oral infections.</w:t>
      </w:r>
      <w:r w:rsidRPr="00777326">
        <w:rPr>
          <w:rFonts w:cs="Arial"/>
          <w:bCs/>
          <w:iCs/>
        </w:rPr>
        <w:t xml:space="preserve"> </w:t>
      </w:r>
      <w:r w:rsidR="00E14F32" w:rsidRPr="00777326">
        <w:rPr>
          <w:rFonts w:cs="Arial"/>
          <w:bCs/>
          <w:iCs/>
        </w:rPr>
        <w:t xml:space="preserve"> </w:t>
      </w:r>
      <w:r w:rsidRPr="00777326">
        <w:rPr>
          <w:rFonts w:cs="Arial"/>
          <w:bCs/>
          <w:iCs/>
        </w:rPr>
        <w:t xml:space="preserve">They found that </w:t>
      </w:r>
      <w:r w:rsidR="00E40439" w:rsidRPr="00777326">
        <w:rPr>
          <w:rFonts w:cs="Arial"/>
          <w:bCs/>
          <w:iCs/>
        </w:rPr>
        <w:t>among those visiting the emergency department with dental conditions</w:t>
      </w:r>
      <w:r w:rsidR="00A12284" w:rsidRPr="00777326">
        <w:rPr>
          <w:rFonts w:cs="Arial"/>
          <w:bCs/>
          <w:iCs/>
        </w:rPr>
        <w:t>, 57%</w:t>
      </w:r>
      <w:r w:rsidR="00E4446C" w:rsidRPr="00777326">
        <w:rPr>
          <w:rFonts w:cs="Arial"/>
          <w:bCs/>
          <w:iCs/>
        </w:rPr>
        <w:t xml:space="preserve"> were due to caries,</w:t>
      </w:r>
      <w:r w:rsidRPr="00777326">
        <w:rPr>
          <w:rFonts w:cs="Arial"/>
          <w:bCs/>
          <w:iCs/>
        </w:rPr>
        <w:t xml:space="preserve"> 4.3% of the visits result</w:t>
      </w:r>
      <w:r w:rsidR="00A12284" w:rsidRPr="00777326">
        <w:rPr>
          <w:rFonts w:cs="Arial"/>
          <w:bCs/>
          <w:iCs/>
        </w:rPr>
        <w:t xml:space="preserve">ed in admission to the hospital, and </w:t>
      </w:r>
      <w:r w:rsidRPr="00777326">
        <w:rPr>
          <w:rFonts w:cs="Arial"/>
          <w:bCs/>
          <w:iCs/>
        </w:rPr>
        <w:t>101 of these</w:t>
      </w:r>
      <w:r w:rsidR="0029197A" w:rsidRPr="00777326">
        <w:rPr>
          <w:rFonts w:cs="Arial"/>
          <w:bCs/>
          <w:iCs/>
        </w:rPr>
        <w:t xml:space="preserve"> </w:t>
      </w:r>
      <w:r w:rsidR="00E4446C" w:rsidRPr="00777326">
        <w:rPr>
          <w:rFonts w:cs="Arial"/>
          <w:bCs/>
          <w:iCs/>
        </w:rPr>
        <w:t xml:space="preserve">hospital </w:t>
      </w:r>
      <w:r w:rsidR="0029197A" w:rsidRPr="00777326">
        <w:rPr>
          <w:rFonts w:cs="Arial"/>
          <w:bCs/>
          <w:iCs/>
        </w:rPr>
        <w:t>patients died</w:t>
      </w:r>
      <w:r w:rsidRPr="00777326">
        <w:rPr>
          <w:rFonts w:cs="Arial"/>
          <w:bCs/>
          <w:iCs/>
        </w:rPr>
        <w:t xml:space="preserve">, with 85% of them dying solely due to </w:t>
      </w:r>
      <w:r w:rsidR="0029197A" w:rsidRPr="00777326">
        <w:rPr>
          <w:rFonts w:cs="Arial"/>
          <w:bCs/>
          <w:iCs/>
        </w:rPr>
        <w:t>the</w:t>
      </w:r>
      <w:r w:rsidR="00D55FC1" w:rsidRPr="00777326">
        <w:rPr>
          <w:rFonts w:cs="Arial"/>
          <w:bCs/>
          <w:iCs/>
        </w:rPr>
        <w:t xml:space="preserve"> consequences of their</w:t>
      </w:r>
      <w:r w:rsidR="0029197A" w:rsidRPr="00777326">
        <w:rPr>
          <w:rFonts w:cs="Arial"/>
          <w:bCs/>
          <w:iCs/>
        </w:rPr>
        <w:t xml:space="preserve"> </w:t>
      </w:r>
      <w:r w:rsidRPr="00777326">
        <w:rPr>
          <w:rFonts w:cs="Arial"/>
          <w:bCs/>
          <w:iCs/>
        </w:rPr>
        <w:t>dental condition.</w:t>
      </w:r>
      <w:r w:rsidR="00E14F32" w:rsidRPr="00777326">
        <w:rPr>
          <w:rFonts w:cs="Arial"/>
          <w:bCs/>
          <w:iCs/>
        </w:rPr>
        <w:t xml:space="preserve"> </w:t>
      </w:r>
      <w:r w:rsidRPr="00777326">
        <w:rPr>
          <w:rFonts w:cs="Arial"/>
          <w:bCs/>
          <w:iCs/>
        </w:rPr>
        <w:t xml:space="preserve"> About 71% of dental-care-related hospital ED visits </w:t>
      </w:r>
      <w:r w:rsidR="00BF31AC" w:rsidRPr="00777326">
        <w:rPr>
          <w:rFonts w:cs="Arial"/>
          <w:bCs/>
          <w:iCs/>
        </w:rPr>
        <w:t xml:space="preserve">occurred among </w:t>
      </w:r>
      <w:r w:rsidRPr="00777326">
        <w:rPr>
          <w:rFonts w:cs="Arial"/>
          <w:bCs/>
          <w:iCs/>
        </w:rPr>
        <w:t xml:space="preserve">people who lived in low-income areas. </w:t>
      </w:r>
      <w:r w:rsidR="00E14F32" w:rsidRPr="00777326">
        <w:rPr>
          <w:rFonts w:cs="Arial"/>
          <w:bCs/>
          <w:iCs/>
        </w:rPr>
        <w:t xml:space="preserve"> </w:t>
      </w:r>
      <w:r w:rsidRPr="00777326">
        <w:rPr>
          <w:rFonts w:cs="Arial"/>
          <w:bCs/>
          <w:iCs/>
        </w:rPr>
        <w:t>As patients</w:t>
      </w:r>
      <w:r w:rsidR="00A12284" w:rsidRPr="00777326">
        <w:rPr>
          <w:rFonts w:cs="Arial"/>
          <w:bCs/>
          <w:iCs/>
        </w:rPr>
        <w:t>’</w:t>
      </w:r>
      <w:r w:rsidRPr="00777326">
        <w:rPr>
          <w:rFonts w:cs="Arial"/>
          <w:bCs/>
          <w:iCs/>
        </w:rPr>
        <w:t xml:space="preserve"> </w:t>
      </w:r>
      <w:r w:rsidR="00B61F30" w:rsidRPr="00777326">
        <w:rPr>
          <w:rFonts w:cs="Arial"/>
          <w:bCs/>
          <w:iCs/>
        </w:rPr>
        <w:t>age increased</w:t>
      </w:r>
      <w:r w:rsidR="00685602" w:rsidRPr="00777326">
        <w:rPr>
          <w:rFonts w:cs="Arial"/>
          <w:bCs/>
          <w:iCs/>
        </w:rPr>
        <w:t>, so did their hospital charges</w:t>
      </w:r>
      <w:r w:rsidR="00BF31AC" w:rsidRPr="00777326">
        <w:rPr>
          <w:rFonts w:cs="Arial"/>
          <w:bCs/>
          <w:iCs/>
        </w:rPr>
        <w:t>.</w:t>
      </w:r>
    </w:p>
    <w:p w14:paraId="5CBA56EA" w14:textId="174ED4CC" w:rsidR="003A0C1A" w:rsidRPr="00777326" w:rsidRDefault="003A0C1A" w:rsidP="003A0C1A">
      <w:pPr>
        <w:pStyle w:val="ListParagraph"/>
        <w:numPr>
          <w:ilvl w:val="0"/>
          <w:numId w:val="12"/>
        </w:numPr>
        <w:spacing w:line="240" w:lineRule="auto"/>
        <w:rPr>
          <w:rFonts w:cs="Arial"/>
          <w:bCs/>
          <w:iCs/>
        </w:rPr>
      </w:pPr>
      <w:r w:rsidRPr="00777326">
        <w:rPr>
          <w:rFonts w:cs="Arial"/>
          <w:bCs/>
          <w:iCs/>
        </w:rPr>
        <w:t>Cohen and colleagues (2002)</w:t>
      </w:r>
      <w:r w:rsidR="00D31179" w:rsidRPr="00777326">
        <w:rPr>
          <w:rFonts w:cs="Arial"/>
          <w:bCs/>
          <w:iCs/>
        </w:rPr>
        <w:t xml:space="preserve"> studied the effects of</w:t>
      </w:r>
      <w:r w:rsidRPr="00777326">
        <w:rPr>
          <w:rFonts w:cs="Arial"/>
          <w:bCs/>
          <w:iCs/>
        </w:rPr>
        <w:t xml:space="preserve"> a natural experiment when Maryland’s Medicaid program dropped dental </w:t>
      </w:r>
      <w:r w:rsidR="00DD1907" w:rsidRPr="00777326">
        <w:rPr>
          <w:rFonts w:cs="Arial"/>
          <w:bCs/>
          <w:iCs/>
        </w:rPr>
        <w:t>coverage for adults in 1993 by comparing</w:t>
      </w:r>
      <w:r w:rsidRPr="00777326">
        <w:rPr>
          <w:rFonts w:cs="Arial"/>
          <w:bCs/>
          <w:iCs/>
        </w:rPr>
        <w:t xml:space="preserve"> ED visits before and after that decision, </w:t>
      </w:r>
      <w:r w:rsidR="0066572E" w:rsidRPr="00777326">
        <w:rPr>
          <w:rFonts w:cs="Arial"/>
          <w:bCs/>
          <w:iCs/>
        </w:rPr>
        <w:t xml:space="preserve">while </w:t>
      </w:r>
      <w:r w:rsidRPr="00777326">
        <w:rPr>
          <w:rFonts w:cs="Arial"/>
          <w:bCs/>
          <w:iCs/>
        </w:rPr>
        <w:t xml:space="preserve">controlling for age, race, and gender. </w:t>
      </w:r>
      <w:r w:rsidR="00E14F32" w:rsidRPr="00777326">
        <w:rPr>
          <w:rFonts w:cs="Arial"/>
          <w:bCs/>
          <w:iCs/>
        </w:rPr>
        <w:t xml:space="preserve"> </w:t>
      </w:r>
      <w:r w:rsidRPr="00777326">
        <w:rPr>
          <w:rFonts w:cs="Arial"/>
          <w:bCs/>
          <w:iCs/>
        </w:rPr>
        <w:t>The Medicaid ED claim</w:t>
      </w:r>
      <w:r w:rsidR="00E1103B" w:rsidRPr="00777326">
        <w:rPr>
          <w:rFonts w:cs="Arial"/>
          <w:bCs/>
          <w:iCs/>
        </w:rPr>
        <w:t>s</w:t>
      </w:r>
      <w:r w:rsidRPr="00777326">
        <w:rPr>
          <w:rFonts w:cs="Arial"/>
          <w:bCs/>
          <w:iCs/>
        </w:rPr>
        <w:t xml:space="preserve"> rose by 12% a</w:t>
      </w:r>
      <w:r w:rsidR="00A12284" w:rsidRPr="00777326">
        <w:rPr>
          <w:rFonts w:cs="Arial"/>
          <w:bCs/>
          <w:iCs/>
        </w:rPr>
        <w:t>fter the state dropped coverage.</w:t>
      </w:r>
      <w:r w:rsidR="00E4446C" w:rsidRPr="00777326">
        <w:rPr>
          <w:rFonts w:cs="Arial"/>
          <w:bCs/>
          <w:iCs/>
        </w:rPr>
        <w:t xml:space="preserve"> </w:t>
      </w:r>
      <w:r w:rsidRPr="00777326">
        <w:rPr>
          <w:rFonts w:cs="Arial"/>
          <w:bCs/>
          <w:iCs/>
        </w:rPr>
        <w:t xml:space="preserve"> A similar natural experiment occurred in Oregon,</w:t>
      </w:r>
      <w:r w:rsidR="00E4446C" w:rsidRPr="00777326">
        <w:rPr>
          <w:rFonts w:cs="Arial"/>
          <w:bCs/>
          <w:iCs/>
        </w:rPr>
        <w:t xml:space="preserve"> where researchers</w:t>
      </w:r>
      <w:r w:rsidR="00AA3106" w:rsidRPr="00777326">
        <w:rPr>
          <w:rFonts w:cs="Arial"/>
          <w:bCs/>
          <w:iCs/>
        </w:rPr>
        <w:t xml:space="preserve"> compared </w:t>
      </w:r>
      <w:r w:rsidR="00E4446C" w:rsidRPr="00777326">
        <w:rPr>
          <w:rFonts w:cs="Arial"/>
          <w:bCs/>
          <w:iCs/>
        </w:rPr>
        <w:t xml:space="preserve">the </w:t>
      </w:r>
      <w:r w:rsidR="00AA3106" w:rsidRPr="00777326">
        <w:rPr>
          <w:rFonts w:cs="Arial"/>
          <w:bCs/>
          <w:iCs/>
        </w:rPr>
        <w:t>dental and health</w:t>
      </w:r>
      <w:r w:rsidR="00BF31AC" w:rsidRPr="00777326">
        <w:rPr>
          <w:rFonts w:cs="Arial"/>
          <w:bCs/>
          <w:iCs/>
        </w:rPr>
        <w:t xml:space="preserve"> services</w:t>
      </w:r>
      <w:r w:rsidR="00E4446C" w:rsidRPr="00777326">
        <w:rPr>
          <w:rFonts w:cs="Arial"/>
          <w:bCs/>
          <w:iCs/>
        </w:rPr>
        <w:t xml:space="preserve"> use of</w:t>
      </w:r>
      <w:r w:rsidR="00AA3106" w:rsidRPr="00777326">
        <w:rPr>
          <w:rFonts w:cs="Arial"/>
          <w:bCs/>
          <w:iCs/>
        </w:rPr>
        <w:t xml:space="preserve"> Medicaid beneficiaries with and without dental coverage in 2003-2005</w:t>
      </w:r>
      <w:r w:rsidR="00BF31AC" w:rsidRPr="00777326">
        <w:rPr>
          <w:rFonts w:cs="Arial"/>
          <w:bCs/>
          <w:iCs/>
        </w:rPr>
        <w:t>. The result</w:t>
      </w:r>
      <w:r w:rsidR="00E4446C" w:rsidRPr="00777326">
        <w:rPr>
          <w:rFonts w:cs="Arial"/>
          <w:bCs/>
          <w:iCs/>
        </w:rPr>
        <w:t>s were</w:t>
      </w:r>
      <w:r w:rsidR="00BF31AC" w:rsidRPr="00777326">
        <w:rPr>
          <w:rFonts w:cs="Arial"/>
          <w:bCs/>
          <w:iCs/>
        </w:rPr>
        <w:t xml:space="preserve"> </w:t>
      </w:r>
      <w:r w:rsidR="00E4446C" w:rsidRPr="00777326">
        <w:rPr>
          <w:rFonts w:cs="Arial"/>
          <w:bCs/>
          <w:iCs/>
        </w:rPr>
        <w:t xml:space="preserve">higher ED and </w:t>
      </w:r>
      <w:r w:rsidR="00A94B38" w:rsidRPr="00777326">
        <w:rPr>
          <w:rFonts w:cs="Arial"/>
          <w:bCs/>
          <w:iCs/>
        </w:rPr>
        <w:t xml:space="preserve">ambulatory care use and </w:t>
      </w:r>
      <w:r w:rsidR="00E4446C" w:rsidRPr="00777326">
        <w:rPr>
          <w:rFonts w:cs="Arial"/>
          <w:bCs/>
          <w:iCs/>
        </w:rPr>
        <w:t xml:space="preserve">more </w:t>
      </w:r>
      <w:r w:rsidR="00AF6DD2" w:rsidRPr="00777326">
        <w:rPr>
          <w:rFonts w:cs="Arial"/>
          <w:bCs/>
          <w:iCs/>
        </w:rPr>
        <w:t>spending</w:t>
      </w:r>
      <w:r w:rsidR="00BF31AC" w:rsidRPr="00777326">
        <w:rPr>
          <w:rFonts w:cs="Arial"/>
          <w:bCs/>
          <w:iCs/>
        </w:rPr>
        <w:t xml:space="preserve"> for those without dental coverage</w:t>
      </w:r>
      <w:r w:rsidR="00A94B38" w:rsidRPr="00777326">
        <w:rPr>
          <w:rFonts w:cs="Arial"/>
          <w:bCs/>
          <w:iCs/>
        </w:rPr>
        <w:t xml:space="preserve"> (</w:t>
      </w:r>
      <w:r w:rsidR="00F40026" w:rsidRPr="00777326">
        <w:rPr>
          <w:rFonts w:cs="Arial"/>
          <w:bCs/>
          <w:iCs/>
        </w:rPr>
        <w:t>Wallace et al.</w:t>
      </w:r>
      <w:r w:rsidRPr="00777326">
        <w:rPr>
          <w:rFonts w:cs="Arial"/>
          <w:bCs/>
          <w:iCs/>
        </w:rPr>
        <w:t xml:space="preserve">, 2011). </w:t>
      </w:r>
      <w:r w:rsidR="00C44451" w:rsidRPr="00777326">
        <w:rPr>
          <w:rFonts w:cs="Arial"/>
          <w:bCs/>
          <w:iCs/>
        </w:rPr>
        <w:t xml:space="preserve"> Likewise, California eliminated its Medicaid dental benefits in 2009 and researchers found that ED visits per 100,000 people increased by 32.3%</w:t>
      </w:r>
      <w:r w:rsidR="00484F5D" w:rsidRPr="00777326">
        <w:rPr>
          <w:rFonts w:cs="Arial"/>
          <w:bCs/>
          <w:iCs/>
        </w:rPr>
        <w:t xml:space="preserve"> and ED costs due to dental emergencies increased by 68%</w:t>
      </w:r>
      <w:r w:rsidR="00F40026" w:rsidRPr="00777326">
        <w:rPr>
          <w:rFonts w:cs="Arial"/>
          <w:bCs/>
          <w:iCs/>
        </w:rPr>
        <w:t xml:space="preserve"> (</w:t>
      </w:r>
      <w:proofErr w:type="spellStart"/>
      <w:r w:rsidR="00F40026" w:rsidRPr="00777326">
        <w:rPr>
          <w:rFonts w:cs="Arial"/>
          <w:bCs/>
          <w:iCs/>
        </w:rPr>
        <w:t>Singhal</w:t>
      </w:r>
      <w:proofErr w:type="spellEnd"/>
      <w:r w:rsidR="00F40026" w:rsidRPr="00777326">
        <w:rPr>
          <w:rFonts w:cs="Arial"/>
          <w:bCs/>
          <w:iCs/>
        </w:rPr>
        <w:t xml:space="preserve"> et al.</w:t>
      </w:r>
      <w:r w:rsidR="00C44451" w:rsidRPr="00777326">
        <w:rPr>
          <w:rFonts w:cs="Arial"/>
          <w:bCs/>
          <w:iCs/>
        </w:rPr>
        <w:t xml:space="preserve">, 2015). </w:t>
      </w:r>
    </w:p>
    <w:p w14:paraId="73A52FAA" w14:textId="40CB1D95" w:rsidR="003672CA" w:rsidRPr="00777326" w:rsidRDefault="003A0C1A" w:rsidP="005A3F82">
      <w:pPr>
        <w:spacing w:after="100" w:afterAutospacing="1" w:line="240" w:lineRule="auto"/>
        <w:rPr>
          <w:rFonts w:cs="Arial"/>
          <w:bCs/>
          <w:iCs/>
        </w:rPr>
      </w:pPr>
      <w:r w:rsidRPr="00777326">
        <w:rPr>
          <w:rFonts w:cs="Arial"/>
          <w:bCs/>
          <w:iCs/>
        </w:rPr>
        <w:t xml:space="preserve">These </w:t>
      </w:r>
      <w:r w:rsidR="00BF31AC" w:rsidRPr="00777326">
        <w:rPr>
          <w:rFonts w:cs="Arial"/>
          <w:bCs/>
          <w:iCs/>
        </w:rPr>
        <w:t>studies</w:t>
      </w:r>
      <w:r w:rsidRPr="00777326">
        <w:rPr>
          <w:rFonts w:cs="Arial"/>
          <w:bCs/>
          <w:iCs/>
        </w:rPr>
        <w:t xml:space="preserve"> </w:t>
      </w:r>
      <w:r w:rsidR="00887239" w:rsidRPr="00777326">
        <w:rPr>
          <w:rFonts w:cs="Arial"/>
          <w:bCs/>
          <w:iCs/>
        </w:rPr>
        <w:t>demonstrate the importance of</w:t>
      </w:r>
      <w:r w:rsidR="0066572E" w:rsidRPr="00777326">
        <w:rPr>
          <w:rFonts w:cs="Arial"/>
          <w:bCs/>
          <w:iCs/>
        </w:rPr>
        <w:t xml:space="preserve"> access to </w:t>
      </w:r>
      <w:r w:rsidR="00BF31AC" w:rsidRPr="00777326">
        <w:rPr>
          <w:rFonts w:cs="Arial"/>
          <w:bCs/>
          <w:iCs/>
        </w:rPr>
        <w:t xml:space="preserve">dental </w:t>
      </w:r>
      <w:r w:rsidR="0066572E" w:rsidRPr="00777326">
        <w:rPr>
          <w:rFonts w:cs="Arial"/>
          <w:bCs/>
          <w:iCs/>
        </w:rPr>
        <w:t>prevention and treatment</w:t>
      </w:r>
      <w:r w:rsidR="00226428" w:rsidRPr="00777326">
        <w:rPr>
          <w:rFonts w:cs="Arial"/>
          <w:bCs/>
          <w:iCs/>
        </w:rPr>
        <w:t xml:space="preserve"> services, which can help prevent more serious health conditions and hospital use. </w:t>
      </w:r>
      <w:r w:rsidR="00887239" w:rsidRPr="00777326">
        <w:rPr>
          <w:rFonts w:cs="Arial"/>
          <w:bCs/>
          <w:iCs/>
        </w:rPr>
        <w:t xml:space="preserve"> </w:t>
      </w:r>
    </w:p>
    <w:p w14:paraId="232272BD" w14:textId="77777777" w:rsidR="00094F48" w:rsidRPr="00777326" w:rsidRDefault="00094F48" w:rsidP="00D84566">
      <w:pPr>
        <w:pStyle w:val="Heading1"/>
        <w:numPr>
          <w:ilvl w:val="0"/>
          <w:numId w:val="19"/>
        </w:numPr>
        <w:rPr>
          <w:rFonts w:cs="Arial"/>
          <w:b w:val="0"/>
          <w:bCs w:val="0"/>
          <w:iCs/>
        </w:rPr>
      </w:pPr>
      <w:r w:rsidRPr="00D84566">
        <w:rPr>
          <w:rFonts w:ascii="Calibri" w:hAnsi="Calibri"/>
          <w:color w:val="auto"/>
          <w:sz w:val="22"/>
          <w:szCs w:val="22"/>
        </w:rPr>
        <w:lastRenderedPageBreak/>
        <w:t>Prevention</w:t>
      </w:r>
    </w:p>
    <w:p w14:paraId="7B987860" w14:textId="51575808" w:rsidR="003672CA" w:rsidRPr="00777326" w:rsidRDefault="00094F48" w:rsidP="00094F48">
      <w:pPr>
        <w:spacing w:line="240" w:lineRule="auto"/>
        <w:rPr>
          <w:rFonts w:cs="Arial"/>
          <w:bCs/>
          <w:iCs/>
        </w:rPr>
      </w:pPr>
      <w:r w:rsidRPr="00777326">
        <w:rPr>
          <w:rFonts w:cs="Arial"/>
          <w:bCs/>
          <w:iCs/>
        </w:rPr>
        <w:t>Simple techniques, such as regular tooth brushing</w:t>
      </w:r>
      <w:r w:rsidR="00226428" w:rsidRPr="00777326">
        <w:rPr>
          <w:rFonts w:cs="Arial"/>
          <w:bCs/>
          <w:iCs/>
        </w:rPr>
        <w:t xml:space="preserve">, </w:t>
      </w:r>
      <w:r w:rsidR="00717490" w:rsidRPr="00777326">
        <w:rPr>
          <w:rFonts w:cs="Arial"/>
          <w:bCs/>
          <w:iCs/>
        </w:rPr>
        <w:t>use of dental aids (electric toothbrush, flossing/water flossing)</w:t>
      </w:r>
      <w:r w:rsidR="00DD1907" w:rsidRPr="00777326">
        <w:rPr>
          <w:rFonts w:cs="Arial"/>
          <w:bCs/>
          <w:iCs/>
        </w:rPr>
        <w:t>,</w:t>
      </w:r>
      <w:r w:rsidR="00717490" w:rsidRPr="00777326">
        <w:rPr>
          <w:rFonts w:cs="Arial"/>
          <w:bCs/>
          <w:iCs/>
        </w:rPr>
        <w:t xml:space="preserve"> </w:t>
      </w:r>
      <w:r w:rsidR="00226428" w:rsidRPr="00777326">
        <w:rPr>
          <w:rFonts w:cs="Arial"/>
          <w:bCs/>
          <w:iCs/>
        </w:rPr>
        <w:t xml:space="preserve">treatment of </w:t>
      </w:r>
      <w:r w:rsidR="00BF31AC" w:rsidRPr="00777326">
        <w:rPr>
          <w:rFonts w:cs="Arial"/>
          <w:bCs/>
          <w:iCs/>
        </w:rPr>
        <w:t>decay</w:t>
      </w:r>
      <w:r w:rsidR="00226428" w:rsidRPr="00777326">
        <w:rPr>
          <w:rFonts w:cs="Arial"/>
          <w:bCs/>
          <w:iCs/>
        </w:rPr>
        <w:t xml:space="preserve"> and </w:t>
      </w:r>
      <w:r w:rsidR="00D55FC1" w:rsidRPr="00777326">
        <w:rPr>
          <w:rFonts w:cs="Arial"/>
          <w:bCs/>
          <w:iCs/>
        </w:rPr>
        <w:t>other</w:t>
      </w:r>
      <w:r w:rsidR="003D1797" w:rsidRPr="00777326">
        <w:rPr>
          <w:rFonts w:cs="Arial"/>
          <w:bCs/>
          <w:iCs/>
        </w:rPr>
        <w:t xml:space="preserve"> </w:t>
      </w:r>
      <w:r w:rsidR="00226428" w:rsidRPr="00777326">
        <w:rPr>
          <w:rFonts w:cs="Arial"/>
          <w:bCs/>
          <w:iCs/>
        </w:rPr>
        <w:t>infections</w:t>
      </w:r>
      <w:r w:rsidR="00BF31AC" w:rsidRPr="00777326">
        <w:rPr>
          <w:rFonts w:cs="Arial"/>
          <w:bCs/>
          <w:iCs/>
        </w:rPr>
        <w:t>,</w:t>
      </w:r>
      <w:r w:rsidRPr="00777326">
        <w:rPr>
          <w:rFonts w:cs="Arial"/>
          <w:bCs/>
          <w:iCs/>
        </w:rPr>
        <w:t xml:space="preserve"> and </w:t>
      </w:r>
      <w:r w:rsidR="003672CA" w:rsidRPr="00777326">
        <w:rPr>
          <w:rFonts w:cs="Arial"/>
          <w:bCs/>
          <w:iCs/>
        </w:rPr>
        <w:t xml:space="preserve">dental </w:t>
      </w:r>
      <w:r w:rsidR="005F0554" w:rsidRPr="00777326">
        <w:rPr>
          <w:rFonts w:cs="Arial"/>
          <w:bCs/>
          <w:iCs/>
        </w:rPr>
        <w:t>cleaning</w:t>
      </w:r>
      <w:r w:rsidR="00717490" w:rsidRPr="00777326">
        <w:rPr>
          <w:rFonts w:cs="Arial"/>
          <w:bCs/>
          <w:iCs/>
        </w:rPr>
        <w:t xml:space="preserve"> and </w:t>
      </w:r>
      <w:r w:rsidR="003672CA" w:rsidRPr="00777326">
        <w:rPr>
          <w:rFonts w:cs="Arial"/>
          <w:bCs/>
          <w:iCs/>
        </w:rPr>
        <w:t>exams</w:t>
      </w:r>
      <w:r w:rsidRPr="00777326">
        <w:rPr>
          <w:rFonts w:cs="Arial"/>
          <w:bCs/>
          <w:iCs/>
        </w:rPr>
        <w:t xml:space="preserve"> are important for good oral health</w:t>
      </w:r>
      <w:r w:rsidR="003672CA" w:rsidRPr="00777326">
        <w:rPr>
          <w:rFonts w:cs="Arial"/>
          <w:bCs/>
          <w:iCs/>
        </w:rPr>
        <w:t xml:space="preserve"> and have poten</w:t>
      </w:r>
      <w:r w:rsidR="00226428" w:rsidRPr="00777326">
        <w:rPr>
          <w:rFonts w:cs="Arial"/>
          <w:bCs/>
          <w:iCs/>
        </w:rPr>
        <w:t>tial to reduce health care use</w:t>
      </w:r>
      <w:r w:rsidRPr="00777326">
        <w:rPr>
          <w:rFonts w:cs="Arial"/>
          <w:bCs/>
          <w:iCs/>
        </w:rPr>
        <w:t xml:space="preserve">. </w:t>
      </w:r>
      <w:r w:rsidR="00E14F32" w:rsidRPr="00777326">
        <w:rPr>
          <w:rFonts w:cs="Arial"/>
          <w:bCs/>
          <w:iCs/>
        </w:rPr>
        <w:t xml:space="preserve"> </w:t>
      </w:r>
      <w:r w:rsidRPr="00777326">
        <w:rPr>
          <w:rFonts w:cs="Arial"/>
          <w:bCs/>
          <w:iCs/>
        </w:rPr>
        <w:t xml:space="preserve">People generally can avoid </w:t>
      </w:r>
      <w:r w:rsidR="00717490" w:rsidRPr="00777326">
        <w:rPr>
          <w:rFonts w:cs="Arial"/>
          <w:bCs/>
          <w:iCs/>
        </w:rPr>
        <w:t>serious</w:t>
      </w:r>
      <w:r w:rsidR="007C17AC" w:rsidRPr="00777326">
        <w:rPr>
          <w:rFonts w:cs="Arial"/>
          <w:bCs/>
          <w:iCs/>
        </w:rPr>
        <w:t xml:space="preserve"> oral</w:t>
      </w:r>
      <w:r w:rsidR="00717490" w:rsidRPr="00777326">
        <w:rPr>
          <w:rFonts w:cs="Arial"/>
          <w:bCs/>
          <w:iCs/>
        </w:rPr>
        <w:t xml:space="preserve"> i</w:t>
      </w:r>
      <w:r w:rsidR="007C17AC" w:rsidRPr="00777326">
        <w:rPr>
          <w:rFonts w:cs="Arial"/>
          <w:bCs/>
          <w:iCs/>
        </w:rPr>
        <w:t xml:space="preserve">nfections through good </w:t>
      </w:r>
      <w:r w:rsidRPr="00777326">
        <w:rPr>
          <w:rFonts w:cs="Arial"/>
          <w:bCs/>
          <w:iCs/>
        </w:rPr>
        <w:t>hygiene and preventive oral health care</w:t>
      </w:r>
      <w:r w:rsidR="00717490" w:rsidRPr="00777326">
        <w:rPr>
          <w:rFonts w:cs="Arial"/>
          <w:bCs/>
          <w:iCs/>
        </w:rPr>
        <w:t xml:space="preserve">, when </w:t>
      </w:r>
      <w:r w:rsidR="007A3632" w:rsidRPr="00777326">
        <w:rPr>
          <w:rFonts w:cs="Arial"/>
          <w:bCs/>
          <w:iCs/>
        </w:rPr>
        <w:t xml:space="preserve">infections can be treated before they </w:t>
      </w:r>
      <w:r w:rsidRPr="00777326">
        <w:rPr>
          <w:rFonts w:cs="Arial"/>
          <w:bCs/>
          <w:iCs/>
        </w:rPr>
        <w:t>become serious.  For example</w:t>
      </w:r>
      <w:r w:rsidR="003672CA" w:rsidRPr="00777326">
        <w:rPr>
          <w:rFonts w:cs="Arial"/>
          <w:bCs/>
          <w:iCs/>
        </w:rPr>
        <w:t xml:space="preserve">: </w:t>
      </w:r>
    </w:p>
    <w:p w14:paraId="234EF22A" w14:textId="29E06E13" w:rsidR="003672CA" w:rsidRPr="00777326" w:rsidRDefault="003672CA" w:rsidP="003672CA">
      <w:pPr>
        <w:pStyle w:val="ListParagraph"/>
        <w:numPr>
          <w:ilvl w:val="0"/>
          <w:numId w:val="10"/>
        </w:numPr>
        <w:spacing w:line="240" w:lineRule="auto"/>
        <w:rPr>
          <w:rFonts w:cs="Arial"/>
          <w:bCs/>
          <w:iCs/>
        </w:rPr>
      </w:pPr>
      <w:r w:rsidRPr="00777326">
        <w:rPr>
          <w:rFonts w:cs="Arial"/>
          <w:bCs/>
          <w:iCs/>
        </w:rPr>
        <w:t>A</w:t>
      </w:r>
      <w:r w:rsidR="00094F48" w:rsidRPr="00777326">
        <w:rPr>
          <w:rFonts w:cs="Arial"/>
          <w:bCs/>
          <w:iCs/>
        </w:rPr>
        <w:t xml:space="preserve"> systematic review of the literature from 1996-2007 identified randomized-controlled trials showing that oral care (tooth brushing and occasional application of antibiotics) reduces the progression or occurrence of respiratory diseases in high-risk older people </w:t>
      </w:r>
      <w:r w:rsidR="0013256A" w:rsidRPr="00777326">
        <w:rPr>
          <w:rFonts w:cs="Arial"/>
          <w:bCs/>
          <w:iCs/>
        </w:rPr>
        <w:t xml:space="preserve"> in hospitals or nursing homes</w:t>
      </w:r>
      <w:r w:rsidR="00F40026" w:rsidRPr="00777326">
        <w:rPr>
          <w:rFonts w:cs="Arial"/>
          <w:bCs/>
          <w:iCs/>
        </w:rPr>
        <w:t xml:space="preserve"> (</w:t>
      </w:r>
      <w:proofErr w:type="spellStart"/>
      <w:r w:rsidR="00F40026" w:rsidRPr="00777326">
        <w:rPr>
          <w:rFonts w:cs="Arial"/>
          <w:bCs/>
          <w:iCs/>
        </w:rPr>
        <w:t>Sjogren</w:t>
      </w:r>
      <w:proofErr w:type="spellEnd"/>
      <w:r w:rsidR="00F40026" w:rsidRPr="00777326">
        <w:rPr>
          <w:rFonts w:cs="Arial"/>
          <w:bCs/>
          <w:iCs/>
        </w:rPr>
        <w:t xml:space="preserve"> et al.</w:t>
      </w:r>
      <w:r w:rsidR="00094F48" w:rsidRPr="00777326">
        <w:rPr>
          <w:rFonts w:cs="Arial"/>
          <w:bCs/>
          <w:iCs/>
        </w:rPr>
        <w:t>, 2008)</w:t>
      </w:r>
      <w:r w:rsidR="0013256A" w:rsidRPr="00777326">
        <w:rPr>
          <w:rFonts w:cs="Arial"/>
          <w:bCs/>
          <w:iCs/>
        </w:rPr>
        <w:t>.</w:t>
      </w:r>
    </w:p>
    <w:p w14:paraId="26ACEF54" w14:textId="6815B5DF" w:rsidR="003672CA" w:rsidRPr="00777326" w:rsidRDefault="00226428" w:rsidP="003672CA">
      <w:pPr>
        <w:pStyle w:val="ListParagraph"/>
        <w:numPr>
          <w:ilvl w:val="0"/>
          <w:numId w:val="10"/>
        </w:numPr>
        <w:spacing w:line="240" w:lineRule="auto"/>
        <w:rPr>
          <w:rFonts w:cs="Arial"/>
          <w:bCs/>
          <w:iCs/>
        </w:rPr>
      </w:pPr>
      <w:r w:rsidRPr="00777326">
        <w:t xml:space="preserve">Institutionalized </w:t>
      </w:r>
      <w:r w:rsidR="00F644E4" w:rsidRPr="00777326">
        <w:t xml:space="preserve">older adults </w:t>
      </w:r>
      <w:r w:rsidR="00094F48" w:rsidRPr="00777326">
        <w:t>benefit from improved oral care with fewer pneumoni</w:t>
      </w:r>
      <w:r w:rsidR="008C5457" w:rsidRPr="00777326">
        <w:t>a episodes and</w:t>
      </w:r>
      <w:r w:rsidR="00094F48" w:rsidRPr="00777326">
        <w:t xml:space="preserve"> days</w:t>
      </w:r>
      <w:r w:rsidR="008C5457" w:rsidRPr="00777326">
        <w:t xml:space="preserve"> with a fever</w:t>
      </w:r>
      <w:r w:rsidR="00094F48" w:rsidRPr="00777326">
        <w:t xml:space="preserve"> (</w:t>
      </w:r>
      <w:proofErr w:type="spellStart"/>
      <w:r w:rsidR="00094F48" w:rsidRPr="00777326">
        <w:t>Berkey</w:t>
      </w:r>
      <w:proofErr w:type="spellEnd"/>
      <w:r w:rsidR="00094F48" w:rsidRPr="00777326">
        <w:t xml:space="preserve"> and </w:t>
      </w:r>
      <w:proofErr w:type="spellStart"/>
      <w:r w:rsidR="00094F48" w:rsidRPr="00777326">
        <w:t>Scannapieceo</w:t>
      </w:r>
      <w:proofErr w:type="spellEnd"/>
      <w:r w:rsidR="00094F48" w:rsidRPr="00777326">
        <w:t xml:space="preserve">, 2013; </w:t>
      </w:r>
      <w:r w:rsidR="00F40026" w:rsidRPr="00777326">
        <w:rPr>
          <w:rFonts w:cs="Arial"/>
          <w:iCs/>
        </w:rPr>
        <w:t>Linden et al.</w:t>
      </w:r>
      <w:r w:rsidR="00094F48" w:rsidRPr="00777326">
        <w:rPr>
          <w:rFonts w:cs="Arial"/>
          <w:iCs/>
        </w:rPr>
        <w:t>, 2013)</w:t>
      </w:r>
      <w:r w:rsidR="008C5457" w:rsidRPr="00777326">
        <w:rPr>
          <w:rFonts w:cs="Arial"/>
          <w:iCs/>
        </w:rPr>
        <w:t>.</w:t>
      </w:r>
      <w:r w:rsidR="00094F48" w:rsidRPr="00777326">
        <w:rPr>
          <w:rFonts w:cs="Arial"/>
          <w:iCs/>
        </w:rPr>
        <w:t xml:space="preserve"> </w:t>
      </w:r>
    </w:p>
    <w:p w14:paraId="53663A96" w14:textId="372F72EC" w:rsidR="00094F48" w:rsidRPr="00D84566" w:rsidRDefault="00094F48" w:rsidP="00E14F32">
      <w:pPr>
        <w:pStyle w:val="ListParagraph"/>
        <w:numPr>
          <w:ilvl w:val="0"/>
          <w:numId w:val="10"/>
        </w:numPr>
        <w:spacing w:line="240" w:lineRule="auto"/>
        <w:rPr>
          <w:rFonts w:cs="Arial"/>
          <w:bCs/>
          <w:iCs/>
        </w:rPr>
      </w:pPr>
      <w:proofErr w:type="spellStart"/>
      <w:r w:rsidRPr="00D84566">
        <w:rPr>
          <w:rFonts w:cs="Arial"/>
          <w:bCs/>
          <w:iCs/>
        </w:rPr>
        <w:t>Jeffcoat</w:t>
      </w:r>
      <w:proofErr w:type="spellEnd"/>
      <w:r w:rsidRPr="00D84566">
        <w:rPr>
          <w:rFonts w:cs="Arial"/>
          <w:bCs/>
          <w:iCs/>
        </w:rPr>
        <w:t xml:space="preserve"> and colleagues (2014) compared the health care expenditures of people who had periodontal disease and received treatment to those with the condition who did not. </w:t>
      </w:r>
      <w:r w:rsidR="00E14F32" w:rsidRPr="00D84566">
        <w:rPr>
          <w:rFonts w:cs="Arial"/>
          <w:bCs/>
          <w:iCs/>
        </w:rPr>
        <w:t xml:space="preserve"> </w:t>
      </w:r>
      <w:r w:rsidRPr="00D84566">
        <w:rPr>
          <w:rFonts w:cs="Arial"/>
          <w:bCs/>
          <w:iCs/>
        </w:rPr>
        <w:t>Both groups had dental insurance.  Using</w:t>
      </w:r>
      <w:r w:rsidR="005F0554" w:rsidRPr="00D84566">
        <w:rPr>
          <w:rFonts w:cs="Arial"/>
          <w:bCs/>
          <w:iCs/>
        </w:rPr>
        <w:t xml:space="preserve"> insurance</w:t>
      </w:r>
      <w:r w:rsidRPr="00D84566">
        <w:rPr>
          <w:rFonts w:cs="Arial"/>
          <w:bCs/>
          <w:iCs/>
        </w:rPr>
        <w:t xml:space="preserve"> claims data, they found that people who received treatment had significant reductions in total allowed health care expenditures and number of hospitalizations</w:t>
      </w:r>
      <w:r w:rsidR="007C17AC" w:rsidRPr="00D84566">
        <w:rPr>
          <w:rFonts w:cs="Arial"/>
          <w:bCs/>
          <w:iCs/>
        </w:rPr>
        <w:t xml:space="preserve"> compared to those who did not receive treatment.  </w:t>
      </w:r>
      <w:r w:rsidRPr="00D84566">
        <w:rPr>
          <w:rFonts w:cs="Arial"/>
          <w:bCs/>
          <w:iCs/>
        </w:rPr>
        <w:t xml:space="preserve">For people with diabetes, expenditures were 40% lower, </w:t>
      </w:r>
      <w:r w:rsidR="007C17AC" w:rsidRPr="00D84566">
        <w:rPr>
          <w:rFonts w:cs="Arial"/>
          <w:bCs/>
          <w:iCs/>
        </w:rPr>
        <w:t xml:space="preserve">for those </w:t>
      </w:r>
      <w:r w:rsidR="00141A16" w:rsidRPr="00D84566">
        <w:rPr>
          <w:rFonts w:cs="Arial"/>
          <w:bCs/>
          <w:iCs/>
        </w:rPr>
        <w:t xml:space="preserve">with cardiovascular disease </w:t>
      </w:r>
      <w:r w:rsidRPr="00D84566">
        <w:rPr>
          <w:rFonts w:cs="Arial"/>
          <w:bCs/>
          <w:iCs/>
        </w:rPr>
        <w:t>41% lower</w:t>
      </w:r>
      <w:r w:rsidR="00BF31AC" w:rsidRPr="00D84566">
        <w:rPr>
          <w:rFonts w:cs="Arial"/>
          <w:bCs/>
          <w:iCs/>
        </w:rPr>
        <w:t xml:space="preserve">, and </w:t>
      </w:r>
      <w:r w:rsidR="007C17AC" w:rsidRPr="00D84566">
        <w:rPr>
          <w:rFonts w:cs="Arial"/>
          <w:bCs/>
          <w:iCs/>
        </w:rPr>
        <w:t xml:space="preserve">those </w:t>
      </w:r>
      <w:r w:rsidR="00BF31AC" w:rsidRPr="00D84566">
        <w:rPr>
          <w:rFonts w:cs="Arial"/>
          <w:bCs/>
          <w:iCs/>
        </w:rPr>
        <w:t>with</w:t>
      </w:r>
      <w:r w:rsidR="00141A16" w:rsidRPr="00D84566">
        <w:rPr>
          <w:rFonts w:cs="Arial"/>
          <w:bCs/>
          <w:iCs/>
        </w:rPr>
        <w:t xml:space="preserve"> cerebral vascular disease 11%</w:t>
      </w:r>
      <w:r w:rsidR="00B61F30" w:rsidRPr="00D84566">
        <w:rPr>
          <w:rFonts w:cs="Arial"/>
          <w:bCs/>
          <w:iCs/>
        </w:rPr>
        <w:t xml:space="preserve"> lower</w:t>
      </w:r>
      <w:r w:rsidRPr="00D84566">
        <w:rPr>
          <w:rFonts w:cs="Arial"/>
          <w:bCs/>
          <w:iCs/>
        </w:rPr>
        <w:t>. These results indica</w:t>
      </w:r>
      <w:r w:rsidR="00226428" w:rsidRPr="00D84566">
        <w:rPr>
          <w:rFonts w:cs="Arial"/>
          <w:bCs/>
          <w:iCs/>
        </w:rPr>
        <w:t>te that</w:t>
      </w:r>
      <w:r w:rsidR="007A3632" w:rsidRPr="00D84566">
        <w:rPr>
          <w:rFonts w:cs="Arial"/>
          <w:bCs/>
          <w:iCs/>
        </w:rPr>
        <w:t xml:space="preserve"> providing</w:t>
      </w:r>
      <w:r w:rsidR="00226428" w:rsidRPr="00D84566">
        <w:rPr>
          <w:rFonts w:cs="Arial"/>
          <w:bCs/>
          <w:iCs/>
        </w:rPr>
        <w:t xml:space="preserve"> dental</w:t>
      </w:r>
      <w:r w:rsidR="00141A16" w:rsidRPr="00D84566">
        <w:rPr>
          <w:rFonts w:cs="Arial"/>
          <w:bCs/>
          <w:iCs/>
        </w:rPr>
        <w:t xml:space="preserve"> services</w:t>
      </w:r>
      <w:r w:rsidR="007C17AC" w:rsidRPr="00D84566">
        <w:rPr>
          <w:rFonts w:cs="Arial"/>
          <w:bCs/>
          <w:iCs/>
        </w:rPr>
        <w:t xml:space="preserve"> has potential to</w:t>
      </w:r>
      <w:r w:rsidRPr="00D84566">
        <w:rPr>
          <w:rFonts w:cs="Arial"/>
          <w:bCs/>
          <w:iCs/>
        </w:rPr>
        <w:t xml:space="preserve"> reduce health care expenditures. </w:t>
      </w:r>
    </w:p>
    <w:p w14:paraId="7290391D" w14:textId="77777777" w:rsidR="00456D47" w:rsidRPr="00777326" w:rsidRDefault="004C12B9" w:rsidP="00D84566">
      <w:pPr>
        <w:pStyle w:val="Heading1"/>
        <w:numPr>
          <w:ilvl w:val="0"/>
          <w:numId w:val="19"/>
        </w:numPr>
        <w:rPr>
          <w:b w:val="0"/>
        </w:rPr>
      </w:pPr>
      <w:r w:rsidRPr="00D84566">
        <w:rPr>
          <w:rFonts w:ascii="Calibri" w:hAnsi="Calibri"/>
          <w:color w:val="auto"/>
          <w:sz w:val="22"/>
          <w:szCs w:val="22"/>
        </w:rPr>
        <w:t>Oral Health</w:t>
      </w:r>
      <w:r w:rsidR="00226A92" w:rsidRPr="00D84566">
        <w:rPr>
          <w:rFonts w:ascii="Calibri" w:hAnsi="Calibri"/>
          <w:color w:val="auto"/>
          <w:sz w:val="22"/>
          <w:szCs w:val="22"/>
        </w:rPr>
        <w:t xml:space="preserve"> by Age,</w:t>
      </w:r>
      <w:r w:rsidR="00992836" w:rsidRPr="00D84566">
        <w:rPr>
          <w:rFonts w:ascii="Calibri" w:hAnsi="Calibri"/>
          <w:color w:val="auto"/>
          <w:sz w:val="22"/>
          <w:szCs w:val="22"/>
        </w:rPr>
        <w:t xml:space="preserve"> Minority Status, and</w:t>
      </w:r>
      <w:r w:rsidR="00226A92" w:rsidRPr="00D84566">
        <w:rPr>
          <w:rFonts w:ascii="Calibri" w:hAnsi="Calibri"/>
          <w:color w:val="auto"/>
          <w:sz w:val="22"/>
          <w:szCs w:val="22"/>
        </w:rPr>
        <w:t xml:space="preserve"> Disabilit</w:t>
      </w:r>
      <w:r w:rsidR="00992836" w:rsidRPr="00D84566">
        <w:rPr>
          <w:rFonts w:ascii="Calibri" w:hAnsi="Calibri"/>
          <w:color w:val="auto"/>
          <w:sz w:val="22"/>
          <w:szCs w:val="22"/>
        </w:rPr>
        <w:t>y</w:t>
      </w:r>
    </w:p>
    <w:p w14:paraId="21EBFCA8" w14:textId="252A7D93" w:rsidR="001D14A9" w:rsidRPr="00777326" w:rsidRDefault="007C17AC" w:rsidP="00196E86">
      <w:pPr>
        <w:spacing w:line="240" w:lineRule="auto"/>
        <w:rPr>
          <w:rFonts w:cs="Arial"/>
          <w:bCs/>
          <w:iCs/>
        </w:rPr>
      </w:pPr>
      <w:r w:rsidRPr="00777326">
        <w:rPr>
          <w:rFonts w:cs="Arial"/>
          <w:bCs/>
          <w:iCs/>
        </w:rPr>
        <w:t xml:space="preserve">Prevention and access to services are particularly important for older adults and </w:t>
      </w:r>
      <w:r w:rsidR="00E14F32" w:rsidRPr="00777326">
        <w:rPr>
          <w:rFonts w:cs="Arial"/>
          <w:bCs/>
          <w:iCs/>
        </w:rPr>
        <w:t xml:space="preserve">for </w:t>
      </w:r>
      <w:r w:rsidR="00C065F1" w:rsidRPr="00777326">
        <w:rPr>
          <w:rFonts w:cs="Arial"/>
          <w:bCs/>
          <w:iCs/>
        </w:rPr>
        <w:t>adults</w:t>
      </w:r>
      <w:r w:rsidRPr="00777326">
        <w:rPr>
          <w:rFonts w:cs="Arial"/>
          <w:bCs/>
          <w:iCs/>
        </w:rPr>
        <w:t xml:space="preserve"> </w:t>
      </w:r>
      <w:proofErr w:type="gramStart"/>
      <w:r w:rsidRPr="00777326">
        <w:rPr>
          <w:rFonts w:cs="Arial"/>
          <w:bCs/>
          <w:iCs/>
        </w:rPr>
        <w:t>with  disabilities</w:t>
      </w:r>
      <w:proofErr w:type="gramEnd"/>
      <w:r w:rsidR="00F40026" w:rsidRPr="00777326">
        <w:rPr>
          <w:rFonts w:cs="Arial"/>
          <w:bCs/>
          <w:iCs/>
        </w:rPr>
        <w:t xml:space="preserve"> </w:t>
      </w:r>
      <w:r w:rsidRPr="00777326">
        <w:rPr>
          <w:rFonts w:cs="Arial"/>
          <w:bCs/>
          <w:iCs/>
        </w:rPr>
        <w:t>because these groups</w:t>
      </w:r>
      <w:r w:rsidR="00317C1C" w:rsidRPr="00777326">
        <w:t xml:space="preserve"> have worse oral healt</w:t>
      </w:r>
      <w:r w:rsidR="00141A16" w:rsidRPr="00777326">
        <w:t>h than those who are younger or have no</w:t>
      </w:r>
      <w:r w:rsidR="00317C1C" w:rsidRPr="00777326">
        <w:t xml:space="preserve"> disabilities</w:t>
      </w:r>
      <w:r w:rsidR="00226A92" w:rsidRPr="00777326">
        <w:t xml:space="preserve">.  In addition, people with lower incomes or minority status experience worse oral health than </w:t>
      </w:r>
      <w:r w:rsidR="00A06BF0" w:rsidRPr="00777326">
        <w:t>their peers</w:t>
      </w:r>
      <w:r w:rsidR="001D14A9" w:rsidRPr="00777326">
        <w:t>.</w:t>
      </w:r>
      <w:r w:rsidR="00317C1C" w:rsidRPr="00777326">
        <w:t xml:space="preserve"> </w:t>
      </w:r>
      <w:r w:rsidR="00737170" w:rsidRPr="00777326">
        <w:t xml:space="preserve"> These groups are particularly vulnerable to the consequences of poor oral health, as described above</w:t>
      </w:r>
      <w:r w:rsidR="00226428" w:rsidRPr="00777326">
        <w:t>, and need</w:t>
      </w:r>
      <w:r w:rsidR="00B442B6" w:rsidRPr="00777326">
        <w:t xml:space="preserve"> better access to preventive services and dental treatments</w:t>
      </w:r>
      <w:r w:rsidR="00737170" w:rsidRPr="00777326">
        <w:t xml:space="preserve">. </w:t>
      </w:r>
    </w:p>
    <w:p w14:paraId="75487AE4" w14:textId="3BE2B22A" w:rsidR="001D14A9" w:rsidRPr="00137751" w:rsidRDefault="00137751" w:rsidP="00137751">
      <w:pPr>
        <w:pStyle w:val="Heading1"/>
        <w:ind w:left="720"/>
        <w:rPr>
          <w:rFonts w:asciiTheme="minorHAnsi" w:hAnsiTheme="minorHAnsi"/>
          <w:sz w:val="22"/>
          <w:szCs w:val="22"/>
        </w:rPr>
      </w:pPr>
      <w:proofErr w:type="gramStart"/>
      <w:r w:rsidRPr="00137751">
        <w:rPr>
          <w:rFonts w:asciiTheme="minorHAnsi" w:hAnsiTheme="minorHAnsi"/>
          <w:color w:val="auto"/>
          <w:sz w:val="22"/>
          <w:szCs w:val="22"/>
        </w:rPr>
        <w:t>4</w:t>
      </w:r>
      <w:r w:rsidR="009C61E9" w:rsidRPr="00137751">
        <w:rPr>
          <w:rFonts w:asciiTheme="minorHAnsi" w:hAnsiTheme="minorHAnsi"/>
          <w:color w:val="auto"/>
          <w:sz w:val="22"/>
          <w:szCs w:val="22"/>
        </w:rPr>
        <w:t>.a</w:t>
      </w:r>
      <w:proofErr w:type="gramEnd"/>
      <w:r w:rsidR="009C61E9" w:rsidRPr="00137751">
        <w:rPr>
          <w:rFonts w:asciiTheme="minorHAnsi" w:hAnsiTheme="minorHAnsi"/>
          <w:color w:val="auto"/>
          <w:sz w:val="22"/>
          <w:szCs w:val="22"/>
        </w:rPr>
        <w:t xml:space="preserve">. </w:t>
      </w:r>
      <w:r w:rsidR="001D14A9" w:rsidRPr="00137751">
        <w:rPr>
          <w:rFonts w:asciiTheme="minorHAnsi" w:hAnsiTheme="minorHAnsi"/>
          <w:color w:val="auto"/>
          <w:sz w:val="22"/>
          <w:szCs w:val="22"/>
        </w:rPr>
        <w:t>Age</w:t>
      </w:r>
      <w:r w:rsidR="00992836" w:rsidRPr="00137751">
        <w:rPr>
          <w:rFonts w:asciiTheme="minorHAnsi" w:hAnsiTheme="minorHAnsi"/>
          <w:color w:val="auto"/>
          <w:sz w:val="22"/>
          <w:szCs w:val="22"/>
        </w:rPr>
        <w:t xml:space="preserve"> and Racial or Ethnic Minorities</w:t>
      </w:r>
    </w:p>
    <w:p w14:paraId="789F7011" w14:textId="19A3B967" w:rsidR="00CF6FE1" w:rsidRPr="00777326" w:rsidRDefault="00A86E13" w:rsidP="00196E86">
      <w:pPr>
        <w:spacing w:line="240" w:lineRule="auto"/>
        <w:rPr>
          <w:rFonts w:cs="Arial"/>
          <w:iCs/>
        </w:rPr>
      </w:pPr>
      <w:r w:rsidRPr="00777326">
        <w:t xml:space="preserve">Older adults have very high rates of oral infections and tooth loss.  </w:t>
      </w:r>
      <w:r w:rsidR="0010292C" w:rsidRPr="00777326">
        <w:t>Total rates of periodont</w:t>
      </w:r>
      <w:r w:rsidR="00D55FC1" w:rsidRPr="00777326">
        <w:t>al disease</w:t>
      </w:r>
      <w:r w:rsidR="0010292C" w:rsidRPr="00777326">
        <w:t xml:space="preserve"> ranged from 24.4% in adults aged 30-34 to 7</w:t>
      </w:r>
      <w:r w:rsidR="00D90F77" w:rsidRPr="00777326">
        <w:t xml:space="preserve">0.1% in </w:t>
      </w:r>
      <w:r w:rsidR="00B442B6" w:rsidRPr="00777326">
        <w:t>adults aged 65 and over</w:t>
      </w:r>
      <w:r w:rsidRPr="00777326">
        <w:t xml:space="preserve">. </w:t>
      </w:r>
      <w:r w:rsidR="0010292C" w:rsidRPr="00777326">
        <w:t xml:space="preserve"> Moderate or severe periodontitis rates were 38% for adults aged 30 and over, and</w:t>
      </w:r>
      <w:r w:rsidR="00A06BF0" w:rsidRPr="00777326">
        <w:t xml:space="preserve"> 64% for those aged 65 and over</w:t>
      </w:r>
      <w:r w:rsidR="0010292C" w:rsidRPr="00777326">
        <w:t xml:space="preserve"> (Eke </w:t>
      </w:r>
      <w:r w:rsidR="00F40026" w:rsidRPr="00777326">
        <w:t>et al.,</w:t>
      </w:r>
      <w:r w:rsidR="0010292C" w:rsidRPr="00777326">
        <w:t xml:space="preserve"> 2012)</w:t>
      </w:r>
      <w:r w:rsidR="00A06BF0" w:rsidRPr="00777326">
        <w:t>.</w:t>
      </w:r>
      <w:r w:rsidR="0010292C" w:rsidRPr="00777326">
        <w:t xml:space="preserve"> </w:t>
      </w:r>
      <w:r w:rsidR="00F15447" w:rsidRPr="00777326">
        <w:t xml:space="preserve"> </w:t>
      </w:r>
      <w:r w:rsidR="00CE4C8D" w:rsidRPr="00777326">
        <w:rPr>
          <w:rFonts w:cs="Arial"/>
          <w:iCs/>
        </w:rPr>
        <w:t>Twenty-one percent</w:t>
      </w:r>
      <w:r w:rsidR="009D631A" w:rsidRPr="00777326">
        <w:rPr>
          <w:rFonts w:cs="Arial"/>
          <w:iCs/>
        </w:rPr>
        <w:t xml:space="preserve"> of adults aged 65 and over were edentulous</w:t>
      </w:r>
      <w:r w:rsidR="00992836" w:rsidRPr="00777326">
        <w:rPr>
          <w:rFonts w:cs="Arial"/>
          <w:iCs/>
        </w:rPr>
        <w:t xml:space="preserve"> (no natural teeth)</w:t>
      </w:r>
      <w:r w:rsidR="00CE4C8D" w:rsidRPr="00777326">
        <w:rPr>
          <w:rFonts w:cs="Arial"/>
          <w:iCs/>
        </w:rPr>
        <w:t xml:space="preserve"> in 2014 (Federal Interagency Forum on Aging Related Statistics, 2016)</w:t>
      </w:r>
      <w:r w:rsidR="009D631A" w:rsidRPr="00777326">
        <w:rPr>
          <w:rFonts w:cs="Arial"/>
          <w:iCs/>
        </w:rPr>
        <w:t xml:space="preserve">. </w:t>
      </w:r>
      <w:r w:rsidR="00141A16" w:rsidRPr="00777326">
        <w:rPr>
          <w:rFonts w:cs="Arial"/>
          <w:iCs/>
        </w:rPr>
        <w:t xml:space="preserve"> </w:t>
      </w:r>
      <w:r w:rsidR="00F15447" w:rsidRPr="00777326">
        <w:rPr>
          <w:rFonts w:cs="Arial"/>
          <w:iCs/>
        </w:rPr>
        <w:t xml:space="preserve"> </w:t>
      </w:r>
      <w:proofErr w:type="spellStart"/>
      <w:r w:rsidR="00F15447" w:rsidRPr="00777326">
        <w:rPr>
          <w:rFonts w:cs="Arial"/>
          <w:iCs/>
        </w:rPr>
        <w:t>Edentulism</w:t>
      </w:r>
      <w:proofErr w:type="spellEnd"/>
      <w:r w:rsidR="00F15447" w:rsidRPr="00777326">
        <w:rPr>
          <w:rFonts w:cs="Arial"/>
          <w:iCs/>
        </w:rPr>
        <w:t xml:space="preserve"> rates</w:t>
      </w:r>
      <w:r w:rsidR="00CE4C8D" w:rsidRPr="00777326">
        <w:rPr>
          <w:rFonts w:cs="Arial"/>
          <w:iCs/>
        </w:rPr>
        <w:t xml:space="preserve"> </w:t>
      </w:r>
      <w:r w:rsidR="0001008D" w:rsidRPr="00777326">
        <w:rPr>
          <w:rFonts w:cs="Arial"/>
          <w:iCs/>
        </w:rPr>
        <w:t>increased</w:t>
      </w:r>
      <w:r w:rsidR="00F15447" w:rsidRPr="00777326">
        <w:rPr>
          <w:rFonts w:cs="Arial"/>
          <w:iCs/>
        </w:rPr>
        <w:t xml:space="preserve"> </w:t>
      </w:r>
      <w:r w:rsidR="0001008D" w:rsidRPr="00777326">
        <w:rPr>
          <w:rFonts w:cs="Arial"/>
          <w:iCs/>
          <w:vanish/>
        </w:rPr>
        <w:t xml:space="preserve"> </w:t>
      </w:r>
      <w:r w:rsidR="00CE4C8D" w:rsidRPr="00777326">
        <w:rPr>
          <w:rFonts w:cs="Arial"/>
          <w:iCs/>
        </w:rPr>
        <w:t xml:space="preserve">with age; the </w:t>
      </w:r>
      <w:r w:rsidR="00B66EBA" w:rsidRPr="00777326">
        <w:rPr>
          <w:rFonts w:cs="Arial"/>
          <w:iCs/>
        </w:rPr>
        <w:t xml:space="preserve">prevalence </w:t>
      </w:r>
      <w:r w:rsidR="00CE4C8D" w:rsidRPr="00777326">
        <w:rPr>
          <w:rFonts w:cs="Arial"/>
          <w:iCs/>
        </w:rPr>
        <w:t>for adults aged 85 and over was 31.4%.</w:t>
      </w:r>
    </w:p>
    <w:p w14:paraId="179B241B" w14:textId="772F05CA" w:rsidR="00CF6FE1" w:rsidRPr="00777326" w:rsidRDefault="00B61F30" w:rsidP="00CF6FE1">
      <w:pPr>
        <w:spacing w:line="240" w:lineRule="auto"/>
      </w:pPr>
      <w:r w:rsidRPr="00777326">
        <w:t>The situation is worse</w:t>
      </w:r>
      <w:r w:rsidR="00A86E13" w:rsidRPr="00777326">
        <w:t xml:space="preserve"> for ol</w:t>
      </w:r>
      <w:r w:rsidRPr="00777326">
        <w:t xml:space="preserve">der adults with low incomes or who are </w:t>
      </w:r>
      <w:r w:rsidR="00A86E13" w:rsidRPr="00777326">
        <w:t>minorities</w:t>
      </w:r>
      <w:r w:rsidR="00EA720F" w:rsidRPr="00777326">
        <w:t xml:space="preserve"> (CDC, accessed 2016)</w:t>
      </w:r>
      <w:r w:rsidR="0013256A" w:rsidRPr="00777326">
        <w:t>.</w:t>
      </w:r>
      <w:r w:rsidRPr="00777326">
        <w:t xml:space="preserve"> </w:t>
      </w:r>
      <w:r w:rsidR="00F15447" w:rsidRPr="00777326">
        <w:t xml:space="preserve"> </w:t>
      </w:r>
      <w:r w:rsidR="00CF6FE1" w:rsidRPr="00777326">
        <w:t>Forty-two percent of older people with family income</w:t>
      </w:r>
      <w:r w:rsidR="00F15447" w:rsidRPr="00777326">
        <w:t>s</w:t>
      </w:r>
      <w:r w:rsidR="00CF6FE1" w:rsidRPr="00777326">
        <w:t xml:space="preserve"> below the poverty line were edentulous,</w:t>
      </w:r>
      <w:r w:rsidRPr="00777326">
        <w:t xml:space="preserve"> compared with 22% of those</w:t>
      </w:r>
      <w:r w:rsidR="009270D4" w:rsidRPr="00777326">
        <w:t xml:space="preserve"> above the poverty threshold</w:t>
      </w:r>
      <w:r w:rsidR="00CF6FE1" w:rsidRPr="00777326">
        <w:t xml:space="preserve"> (DHHS, 2012)</w:t>
      </w:r>
      <w:r w:rsidR="009270D4" w:rsidRPr="00777326">
        <w:t>.</w:t>
      </w:r>
      <w:r w:rsidR="00CF6FE1" w:rsidRPr="00777326">
        <w:t xml:space="preserve"> </w:t>
      </w:r>
      <w:r w:rsidR="00F15447" w:rsidRPr="00777326">
        <w:t xml:space="preserve"> </w:t>
      </w:r>
      <w:r w:rsidR="00BF31AC" w:rsidRPr="00777326">
        <w:rPr>
          <w:rFonts w:cs="Arial"/>
          <w:iCs/>
        </w:rPr>
        <w:t xml:space="preserve">In 2014, </w:t>
      </w:r>
      <w:r w:rsidR="00AF6DD2" w:rsidRPr="00777326">
        <w:rPr>
          <w:rFonts w:cs="Arial"/>
          <w:iCs/>
        </w:rPr>
        <w:t>n</w:t>
      </w:r>
      <w:r w:rsidR="00CF6FE1" w:rsidRPr="00777326">
        <w:rPr>
          <w:rFonts w:cs="Arial"/>
          <w:iCs/>
        </w:rPr>
        <w:t>on-Hispanic black adults aged</w:t>
      </w:r>
      <w:r w:rsidR="002B7CCB" w:rsidRPr="00777326">
        <w:rPr>
          <w:rFonts w:cs="Arial"/>
          <w:iCs/>
        </w:rPr>
        <w:t xml:space="preserve"> 65 and over were more likely to be edentulous (28.2</w:t>
      </w:r>
      <w:r w:rsidR="00CF6FE1" w:rsidRPr="00777326">
        <w:rPr>
          <w:rFonts w:cs="Arial"/>
          <w:iCs/>
        </w:rPr>
        <w:t xml:space="preserve">%) </w:t>
      </w:r>
      <w:r w:rsidR="00BF31AC" w:rsidRPr="00777326">
        <w:rPr>
          <w:rFonts w:cs="Arial"/>
          <w:iCs/>
        </w:rPr>
        <w:t xml:space="preserve">compared to </w:t>
      </w:r>
      <w:r w:rsidR="00CF6FE1" w:rsidRPr="00777326">
        <w:rPr>
          <w:rFonts w:cs="Arial"/>
          <w:iCs/>
        </w:rPr>
        <w:t>non-Hispa</w:t>
      </w:r>
      <w:r w:rsidR="002B7CCB" w:rsidRPr="00777326">
        <w:rPr>
          <w:rFonts w:cs="Arial"/>
          <w:iCs/>
        </w:rPr>
        <w:t>nic white (19.6%) and Hispanic adults (23.2%)</w:t>
      </w:r>
      <w:r w:rsidR="00CF6FE1" w:rsidRPr="00777326">
        <w:rPr>
          <w:rFonts w:cs="Arial"/>
          <w:iCs/>
        </w:rPr>
        <w:t xml:space="preserve"> </w:t>
      </w:r>
      <w:proofErr w:type="gramStart"/>
      <w:r w:rsidR="002B7CCB" w:rsidRPr="00777326">
        <w:rPr>
          <w:rFonts w:cs="Arial"/>
          <w:iCs/>
        </w:rPr>
        <w:t>(Federal Interagency Forum on Aging Related Statistics, 2016).</w:t>
      </w:r>
      <w:proofErr w:type="gramEnd"/>
      <w:r w:rsidR="002B7CCB" w:rsidRPr="00777326">
        <w:rPr>
          <w:rFonts w:cs="Arial"/>
          <w:iCs/>
        </w:rPr>
        <w:t xml:space="preserve"> </w:t>
      </w:r>
    </w:p>
    <w:p w14:paraId="35C4D0E3" w14:textId="369AEA11" w:rsidR="00F865CC" w:rsidRPr="00777326" w:rsidRDefault="00B66EBA" w:rsidP="00196E86">
      <w:pPr>
        <w:spacing w:line="240" w:lineRule="auto"/>
      </w:pPr>
      <w:r w:rsidRPr="00777326">
        <w:t xml:space="preserve">Older adults with specific types of health conditions are </w:t>
      </w:r>
      <w:r w:rsidR="00992836" w:rsidRPr="00777326">
        <w:t>prone to poor oral health</w:t>
      </w:r>
      <w:r w:rsidRPr="00777326">
        <w:t xml:space="preserve">.  These </w:t>
      </w:r>
      <w:r w:rsidR="00F15447" w:rsidRPr="00777326">
        <w:t>conditions include disability</w:t>
      </w:r>
      <w:r w:rsidR="001D14A9" w:rsidRPr="00777326">
        <w:t>, cognitive impairme</w:t>
      </w:r>
      <w:r w:rsidR="00B61F30" w:rsidRPr="00777326">
        <w:t>nt</w:t>
      </w:r>
      <w:r w:rsidR="00F15447" w:rsidRPr="00777326">
        <w:t>, visual problems, arthritis, and</w:t>
      </w:r>
      <w:r w:rsidR="001D14A9" w:rsidRPr="00777326">
        <w:t xml:space="preserve"> </w:t>
      </w:r>
      <w:r w:rsidR="009270D4" w:rsidRPr="00777326">
        <w:t>dry mouth</w:t>
      </w:r>
      <w:r w:rsidR="001D14A9" w:rsidRPr="00777326">
        <w:t xml:space="preserve"> (</w:t>
      </w:r>
      <w:proofErr w:type="spellStart"/>
      <w:r w:rsidR="001D14A9" w:rsidRPr="00777326">
        <w:t>Berkey</w:t>
      </w:r>
      <w:proofErr w:type="spellEnd"/>
      <w:r w:rsidR="001D14A9" w:rsidRPr="00777326">
        <w:t xml:space="preserve"> and </w:t>
      </w:r>
      <w:proofErr w:type="spellStart"/>
      <w:r w:rsidR="001D14A9" w:rsidRPr="00777326">
        <w:lastRenderedPageBreak/>
        <w:t>Scannapieceo</w:t>
      </w:r>
      <w:proofErr w:type="spellEnd"/>
      <w:r w:rsidR="001D14A9" w:rsidRPr="00777326">
        <w:t>, 2013)</w:t>
      </w:r>
      <w:r w:rsidR="009270D4" w:rsidRPr="00777326">
        <w:t xml:space="preserve">.  </w:t>
      </w:r>
      <w:r w:rsidR="00CF6FE1" w:rsidRPr="00777326">
        <w:t xml:space="preserve"> In addition, o</w:t>
      </w:r>
      <w:r w:rsidR="00F865CC" w:rsidRPr="00777326">
        <w:rPr>
          <w:rFonts w:cs="Arial"/>
          <w:bCs/>
          <w:iCs/>
        </w:rPr>
        <w:t xml:space="preserve">lder nursing home residents have greater risk for tooth loss, periodontal disease, and poor oral hygiene than older community residents (Fisher-Owens </w:t>
      </w:r>
      <w:r w:rsidR="00F40026" w:rsidRPr="00777326">
        <w:rPr>
          <w:rFonts w:cs="Arial"/>
          <w:bCs/>
          <w:iCs/>
        </w:rPr>
        <w:t>et al.,</w:t>
      </w:r>
      <w:r w:rsidR="00F865CC" w:rsidRPr="00777326">
        <w:rPr>
          <w:rFonts w:cs="Arial"/>
          <w:bCs/>
          <w:iCs/>
        </w:rPr>
        <w:t xml:space="preserve"> 2008)</w:t>
      </w:r>
      <w:r w:rsidR="009270D4" w:rsidRPr="00777326">
        <w:rPr>
          <w:rFonts w:cs="Arial"/>
          <w:bCs/>
          <w:iCs/>
        </w:rPr>
        <w:t>.</w:t>
      </w:r>
    </w:p>
    <w:p w14:paraId="5A8E6D54" w14:textId="58BB3B36" w:rsidR="00AF6DD2" w:rsidRPr="00777326" w:rsidRDefault="00B61F30" w:rsidP="00D819B0">
      <w:pPr>
        <w:spacing w:line="240" w:lineRule="auto"/>
        <w:rPr>
          <w:rFonts w:cs="Arial"/>
          <w:bCs/>
          <w:iCs/>
        </w:rPr>
      </w:pPr>
      <w:r w:rsidRPr="00777326">
        <w:rPr>
          <w:rFonts w:cs="Arial"/>
          <w:bCs/>
          <w:iCs/>
        </w:rPr>
        <w:t>O</w:t>
      </w:r>
      <w:r w:rsidR="007A6C45" w:rsidRPr="00777326">
        <w:rPr>
          <w:rFonts w:cs="Arial"/>
          <w:bCs/>
          <w:iCs/>
        </w:rPr>
        <w:t>ver time</w:t>
      </w:r>
      <w:r w:rsidRPr="00777326">
        <w:rPr>
          <w:rFonts w:cs="Arial"/>
          <w:bCs/>
          <w:iCs/>
        </w:rPr>
        <w:t>,</w:t>
      </w:r>
      <w:r w:rsidR="00226428" w:rsidRPr="00777326">
        <w:rPr>
          <w:rFonts w:cs="Arial"/>
          <w:bCs/>
          <w:iCs/>
        </w:rPr>
        <w:t xml:space="preserve"> advances in dental </w:t>
      </w:r>
      <w:r w:rsidR="004E659D" w:rsidRPr="00777326">
        <w:rPr>
          <w:rFonts w:cs="Arial"/>
          <w:bCs/>
          <w:iCs/>
        </w:rPr>
        <w:t>care and treatment have</w:t>
      </w:r>
      <w:r w:rsidR="007A6C45" w:rsidRPr="00777326">
        <w:rPr>
          <w:rFonts w:cs="Arial"/>
          <w:bCs/>
          <w:iCs/>
        </w:rPr>
        <w:t xml:space="preserve"> reduced the proportion of </w:t>
      </w:r>
      <w:r w:rsidRPr="00777326">
        <w:rPr>
          <w:rFonts w:cs="Arial"/>
          <w:bCs/>
          <w:iCs/>
        </w:rPr>
        <w:t>older adults who have no teeth</w:t>
      </w:r>
      <w:r w:rsidR="007A6C45" w:rsidRPr="00777326">
        <w:rPr>
          <w:rFonts w:cs="Arial"/>
          <w:bCs/>
          <w:iCs/>
        </w:rPr>
        <w:t xml:space="preserve"> </w:t>
      </w:r>
      <w:r w:rsidR="00E940DF" w:rsidRPr="00777326">
        <w:rPr>
          <w:rFonts w:cs="Arial"/>
          <w:bCs/>
          <w:iCs/>
        </w:rPr>
        <w:t>(</w:t>
      </w:r>
      <w:r w:rsidR="00F40026" w:rsidRPr="00777326">
        <w:rPr>
          <w:rFonts w:cs="Arial"/>
          <w:bCs/>
          <w:iCs/>
        </w:rPr>
        <w:t>Griffin et al.</w:t>
      </w:r>
      <w:r w:rsidR="00644F70" w:rsidRPr="00777326">
        <w:rPr>
          <w:rFonts w:cs="Arial"/>
          <w:bCs/>
          <w:iCs/>
        </w:rPr>
        <w:t>, 2012</w:t>
      </w:r>
      <w:r w:rsidR="00B442B6" w:rsidRPr="00777326">
        <w:rPr>
          <w:rFonts w:cs="Arial"/>
          <w:bCs/>
          <w:iCs/>
        </w:rPr>
        <w:t xml:space="preserve">; Eke </w:t>
      </w:r>
      <w:r w:rsidR="00F40026" w:rsidRPr="00777326">
        <w:rPr>
          <w:rFonts w:cs="Arial"/>
          <w:bCs/>
          <w:iCs/>
        </w:rPr>
        <w:t>et al.,</w:t>
      </w:r>
      <w:r w:rsidR="00B442B6" w:rsidRPr="00777326">
        <w:rPr>
          <w:rFonts w:cs="Arial"/>
          <w:bCs/>
          <w:iCs/>
        </w:rPr>
        <w:t xml:space="preserve"> 2016</w:t>
      </w:r>
      <w:r w:rsidR="00644F70" w:rsidRPr="00777326">
        <w:rPr>
          <w:rFonts w:cs="Arial"/>
          <w:bCs/>
          <w:iCs/>
        </w:rPr>
        <w:t>)</w:t>
      </w:r>
      <w:r w:rsidR="009270D4" w:rsidRPr="00777326">
        <w:rPr>
          <w:rFonts w:cs="Arial"/>
          <w:bCs/>
          <w:iCs/>
        </w:rPr>
        <w:t>.</w:t>
      </w:r>
      <w:r w:rsidR="00644F70" w:rsidRPr="00777326">
        <w:rPr>
          <w:rFonts w:cs="Arial"/>
          <w:bCs/>
          <w:iCs/>
        </w:rPr>
        <w:t xml:space="preserve"> </w:t>
      </w:r>
      <w:r w:rsidRPr="00777326">
        <w:rPr>
          <w:rFonts w:cs="Arial"/>
          <w:bCs/>
          <w:iCs/>
        </w:rPr>
        <w:t xml:space="preserve"> M</w:t>
      </w:r>
      <w:r w:rsidR="00CF6FE1" w:rsidRPr="00777326">
        <w:rPr>
          <w:rFonts w:cs="Arial"/>
          <w:bCs/>
          <w:iCs/>
        </w:rPr>
        <w:t>ore access</w:t>
      </w:r>
      <w:r w:rsidRPr="00777326">
        <w:rPr>
          <w:rFonts w:cs="Arial"/>
          <w:bCs/>
          <w:iCs/>
        </w:rPr>
        <w:t xml:space="preserve"> to better oral health care may</w:t>
      </w:r>
      <w:r w:rsidR="00CF6FE1" w:rsidRPr="00777326">
        <w:rPr>
          <w:rFonts w:cs="Arial"/>
          <w:bCs/>
          <w:iCs/>
        </w:rPr>
        <w:t xml:space="preserve"> continue to improve the situation.</w:t>
      </w:r>
      <w:r w:rsidR="00BF31AC" w:rsidRPr="00777326">
        <w:rPr>
          <w:rFonts w:cs="Arial"/>
          <w:bCs/>
          <w:iCs/>
        </w:rPr>
        <w:t xml:space="preserve"> </w:t>
      </w:r>
    </w:p>
    <w:p w14:paraId="250519B1" w14:textId="209D7757" w:rsidR="00BF31AC" w:rsidRPr="00777326" w:rsidRDefault="00BF31AC" w:rsidP="00D819B0">
      <w:pPr>
        <w:spacing w:line="240" w:lineRule="auto"/>
        <w:rPr>
          <w:rFonts w:cs="Arial"/>
          <w:bCs/>
          <w:iCs/>
        </w:rPr>
      </w:pPr>
      <w:r w:rsidRPr="00777326">
        <w:rPr>
          <w:rFonts w:cs="Arial"/>
          <w:bCs/>
          <w:iCs/>
        </w:rPr>
        <w:t>Much progress could be made for older adults</w:t>
      </w:r>
      <w:r w:rsidR="00AF6DD2" w:rsidRPr="00777326">
        <w:rPr>
          <w:rFonts w:cs="Arial"/>
          <w:bCs/>
          <w:iCs/>
        </w:rPr>
        <w:t>, particularly those in poor health</w:t>
      </w:r>
      <w:r w:rsidRPr="00777326">
        <w:rPr>
          <w:rFonts w:cs="Arial"/>
          <w:bCs/>
          <w:iCs/>
        </w:rPr>
        <w:t xml:space="preserve">. </w:t>
      </w:r>
      <w:r w:rsidR="008A486F" w:rsidRPr="00777326">
        <w:rPr>
          <w:rFonts w:cs="Arial"/>
          <w:bCs/>
          <w:iCs/>
        </w:rPr>
        <w:t xml:space="preserve"> </w:t>
      </w:r>
      <w:r w:rsidR="00097264" w:rsidRPr="00777326">
        <w:rPr>
          <w:rFonts w:cs="Arial"/>
          <w:bCs/>
          <w:iCs/>
        </w:rPr>
        <w:t>Only 43% of</w:t>
      </w:r>
      <w:r w:rsidR="00D819B0" w:rsidRPr="00777326">
        <w:rPr>
          <w:rFonts w:cs="Arial"/>
          <w:bCs/>
          <w:iCs/>
        </w:rPr>
        <w:t xml:space="preserve"> </w:t>
      </w:r>
      <w:r w:rsidR="00097264" w:rsidRPr="00777326">
        <w:rPr>
          <w:rFonts w:cs="Arial"/>
          <w:bCs/>
          <w:iCs/>
        </w:rPr>
        <w:t>clients receiving</w:t>
      </w:r>
      <w:r w:rsidR="00AF6DD2" w:rsidRPr="00777326">
        <w:rPr>
          <w:rFonts w:cs="Arial"/>
          <w:bCs/>
          <w:iCs/>
        </w:rPr>
        <w:t xml:space="preserve"> Older Americans Act</w:t>
      </w:r>
      <w:r w:rsidR="00097264" w:rsidRPr="00777326">
        <w:rPr>
          <w:rFonts w:cs="Arial"/>
          <w:bCs/>
          <w:iCs/>
        </w:rPr>
        <w:t xml:space="preserve"> </w:t>
      </w:r>
      <w:r w:rsidR="00D819B0" w:rsidRPr="00777326">
        <w:rPr>
          <w:rFonts w:cs="Arial"/>
          <w:bCs/>
          <w:iCs/>
        </w:rPr>
        <w:t>home delivered meal</w:t>
      </w:r>
      <w:r w:rsidR="00AF6DD2" w:rsidRPr="00777326">
        <w:rPr>
          <w:rFonts w:cs="Arial"/>
          <w:bCs/>
          <w:iCs/>
        </w:rPr>
        <w:t>s</w:t>
      </w:r>
      <w:r w:rsidR="00D819B0" w:rsidRPr="00777326">
        <w:rPr>
          <w:rFonts w:cs="Arial"/>
          <w:bCs/>
          <w:iCs/>
        </w:rPr>
        <w:t xml:space="preserve"> </w:t>
      </w:r>
      <w:r w:rsidR="00097264" w:rsidRPr="00777326">
        <w:rPr>
          <w:rFonts w:cs="Arial"/>
          <w:bCs/>
          <w:iCs/>
        </w:rPr>
        <w:t xml:space="preserve">reported having had </w:t>
      </w:r>
      <w:r w:rsidR="00D819B0" w:rsidRPr="00777326">
        <w:rPr>
          <w:rFonts w:cs="Arial"/>
          <w:bCs/>
          <w:iCs/>
        </w:rPr>
        <w:t>a dental vis</w:t>
      </w:r>
      <w:r w:rsidR="00AF6DD2" w:rsidRPr="00777326">
        <w:rPr>
          <w:rFonts w:cs="Arial"/>
          <w:bCs/>
          <w:iCs/>
        </w:rPr>
        <w:t>it within the last year in 2015</w:t>
      </w:r>
      <w:r w:rsidR="00D819B0" w:rsidRPr="00777326">
        <w:rPr>
          <w:rFonts w:cs="Arial"/>
          <w:bCs/>
          <w:iCs/>
        </w:rPr>
        <w:t xml:space="preserve">  (</w:t>
      </w:r>
      <w:r w:rsidR="001E150C" w:rsidRPr="00777326">
        <w:rPr>
          <w:rFonts w:cs="Arial"/>
          <w:bCs/>
          <w:iCs/>
        </w:rPr>
        <w:t>ACL</w:t>
      </w:r>
      <w:r w:rsidR="00D819B0" w:rsidRPr="00777326">
        <w:rPr>
          <w:rFonts w:cs="Arial"/>
          <w:bCs/>
          <w:iCs/>
        </w:rPr>
        <w:t>, 2016)</w:t>
      </w:r>
      <w:r w:rsidR="00AF6DD2" w:rsidRPr="00777326">
        <w:rPr>
          <w:rFonts w:cs="Arial"/>
          <w:bCs/>
          <w:iCs/>
        </w:rPr>
        <w:t>.</w:t>
      </w:r>
      <w:r w:rsidR="00D819B0" w:rsidRPr="00777326">
        <w:rPr>
          <w:rFonts w:cs="Arial"/>
          <w:bCs/>
          <w:iCs/>
        </w:rPr>
        <w:t xml:space="preserve">  The O</w:t>
      </w:r>
      <w:r w:rsidR="00AF6DD2" w:rsidRPr="00777326">
        <w:rPr>
          <w:rFonts w:cs="Arial"/>
          <w:bCs/>
          <w:iCs/>
        </w:rPr>
        <w:t>lder American Act Nutrition Program</w:t>
      </w:r>
      <w:r w:rsidR="00D819B0" w:rsidRPr="00777326">
        <w:rPr>
          <w:rFonts w:cs="Arial"/>
          <w:bCs/>
          <w:iCs/>
        </w:rPr>
        <w:t xml:space="preserve"> </w:t>
      </w:r>
      <w:r w:rsidR="00AF6DD2" w:rsidRPr="00777326">
        <w:rPr>
          <w:rFonts w:cs="Arial"/>
          <w:bCs/>
          <w:iCs/>
        </w:rPr>
        <w:t>targets</w:t>
      </w:r>
      <w:r w:rsidR="00D819B0" w:rsidRPr="00777326">
        <w:rPr>
          <w:rFonts w:cs="Arial"/>
          <w:bCs/>
          <w:iCs/>
        </w:rPr>
        <w:t xml:space="preserve"> services to older adults who are in poor health and </w:t>
      </w:r>
      <w:r w:rsidR="00AF6DD2" w:rsidRPr="00777326">
        <w:rPr>
          <w:rFonts w:cs="Arial"/>
          <w:bCs/>
          <w:iCs/>
        </w:rPr>
        <w:t xml:space="preserve">have functional impairments. </w:t>
      </w:r>
      <w:r w:rsidR="00D819B0" w:rsidRPr="00777326">
        <w:rPr>
          <w:rFonts w:cs="Arial"/>
          <w:bCs/>
          <w:iCs/>
        </w:rPr>
        <w:t>For example, 45 percent of congregate participants and 63 percent of home-deliv</w:t>
      </w:r>
      <w:r w:rsidR="00D819B0" w:rsidRPr="00777326">
        <w:rPr>
          <w:rFonts w:cs="Arial"/>
          <w:bCs/>
          <w:iCs/>
        </w:rPr>
        <w:softHyphen/>
        <w:t>ered participants have six or more medical conditions</w:t>
      </w:r>
      <w:r w:rsidR="00AF6DD2" w:rsidRPr="00777326">
        <w:rPr>
          <w:rFonts w:cs="Arial"/>
          <w:bCs/>
          <w:iCs/>
        </w:rPr>
        <w:t xml:space="preserve"> (</w:t>
      </w:r>
      <w:proofErr w:type="spellStart"/>
      <w:r w:rsidR="00AF6DD2" w:rsidRPr="00777326">
        <w:rPr>
          <w:rFonts w:cs="Arial"/>
          <w:bCs/>
          <w:iCs/>
        </w:rPr>
        <w:t>Kowlessar</w:t>
      </w:r>
      <w:proofErr w:type="spellEnd"/>
      <w:r w:rsidR="00AF6DD2" w:rsidRPr="00777326">
        <w:rPr>
          <w:rFonts w:cs="Arial"/>
          <w:bCs/>
          <w:iCs/>
        </w:rPr>
        <w:t>, 2015).</w:t>
      </w:r>
    </w:p>
    <w:p w14:paraId="4FB75D89" w14:textId="69861215" w:rsidR="001D14A9" w:rsidRPr="00137751" w:rsidRDefault="00137751" w:rsidP="00137751">
      <w:pPr>
        <w:pStyle w:val="Heading1"/>
        <w:ind w:left="720"/>
        <w:rPr>
          <w:rFonts w:asciiTheme="minorHAnsi" w:hAnsiTheme="minorHAnsi"/>
          <w:color w:val="auto"/>
          <w:sz w:val="22"/>
          <w:szCs w:val="22"/>
        </w:rPr>
      </w:pPr>
      <w:proofErr w:type="gramStart"/>
      <w:r w:rsidRPr="00137751">
        <w:rPr>
          <w:rFonts w:asciiTheme="minorHAnsi" w:hAnsiTheme="minorHAnsi"/>
          <w:color w:val="auto"/>
          <w:sz w:val="22"/>
          <w:szCs w:val="22"/>
        </w:rPr>
        <w:t>4</w:t>
      </w:r>
      <w:r w:rsidR="00B442B6" w:rsidRPr="00137751">
        <w:rPr>
          <w:rFonts w:asciiTheme="minorHAnsi" w:hAnsiTheme="minorHAnsi"/>
          <w:color w:val="auto"/>
          <w:sz w:val="22"/>
          <w:szCs w:val="22"/>
        </w:rPr>
        <w:t>.b</w:t>
      </w:r>
      <w:proofErr w:type="gramEnd"/>
      <w:r w:rsidR="00B442B6" w:rsidRPr="00137751">
        <w:rPr>
          <w:rFonts w:asciiTheme="minorHAnsi" w:hAnsiTheme="minorHAnsi"/>
          <w:color w:val="auto"/>
          <w:sz w:val="22"/>
          <w:szCs w:val="22"/>
        </w:rPr>
        <w:t>.</w:t>
      </w:r>
      <w:r w:rsidR="00876EE0" w:rsidRPr="00137751">
        <w:rPr>
          <w:rFonts w:asciiTheme="minorHAnsi" w:hAnsiTheme="minorHAnsi"/>
          <w:color w:val="auto"/>
          <w:sz w:val="22"/>
          <w:szCs w:val="22"/>
        </w:rPr>
        <w:t xml:space="preserve"> </w:t>
      </w:r>
      <w:r w:rsidR="001D14A9" w:rsidRPr="00137751">
        <w:rPr>
          <w:rFonts w:asciiTheme="minorHAnsi" w:hAnsiTheme="minorHAnsi"/>
          <w:color w:val="auto"/>
          <w:sz w:val="22"/>
          <w:szCs w:val="22"/>
        </w:rPr>
        <w:t>Disability</w:t>
      </w:r>
    </w:p>
    <w:p w14:paraId="4792CE95" w14:textId="57B2ECAC" w:rsidR="00280E06" w:rsidRPr="00777326" w:rsidRDefault="00412412" w:rsidP="00196E86">
      <w:pPr>
        <w:spacing w:line="240" w:lineRule="auto"/>
        <w:rPr>
          <w:rFonts w:cs="Arial"/>
          <w:bCs/>
          <w:iCs/>
        </w:rPr>
      </w:pPr>
      <w:r w:rsidRPr="00777326">
        <w:t>Y</w:t>
      </w:r>
      <w:r w:rsidR="007023FB" w:rsidRPr="00777326">
        <w:t>ounger adults</w:t>
      </w:r>
      <w:r w:rsidR="001D14A9" w:rsidRPr="00777326">
        <w:t xml:space="preserve"> with disabilities</w:t>
      </w:r>
      <w:r w:rsidRPr="00777326">
        <w:t>, similar to older adults with a disability,</w:t>
      </w:r>
      <w:r w:rsidR="007023FB" w:rsidRPr="00777326">
        <w:t xml:space="preserve"> </w:t>
      </w:r>
      <w:r w:rsidR="00A86E13" w:rsidRPr="00777326">
        <w:t>have high</w:t>
      </w:r>
      <w:r w:rsidR="001D14A9" w:rsidRPr="00777326">
        <w:t xml:space="preserve"> risk of poor oral health (CDC, accessed 2016)</w:t>
      </w:r>
      <w:r w:rsidR="009270D4" w:rsidRPr="00777326">
        <w:t xml:space="preserve">. </w:t>
      </w:r>
      <w:r w:rsidR="001D14A9" w:rsidRPr="00777326">
        <w:t xml:space="preserve"> </w:t>
      </w:r>
      <w:r w:rsidR="007A6C45" w:rsidRPr="00777326">
        <w:rPr>
          <w:rFonts w:cs="Arial"/>
          <w:bCs/>
          <w:iCs/>
        </w:rPr>
        <w:t>Analysis of the 2004 B</w:t>
      </w:r>
      <w:r w:rsidR="007023FB" w:rsidRPr="00777326">
        <w:rPr>
          <w:rFonts w:cs="Arial"/>
          <w:bCs/>
          <w:iCs/>
        </w:rPr>
        <w:t xml:space="preserve">ehavior </w:t>
      </w:r>
      <w:r w:rsidR="007A6C45" w:rsidRPr="00777326">
        <w:rPr>
          <w:rFonts w:cs="Arial"/>
          <w:bCs/>
          <w:iCs/>
        </w:rPr>
        <w:t>R</w:t>
      </w:r>
      <w:r w:rsidR="007023FB" w:rsidRPr="00777326">
        <w:rPr>
          <w:rFonts w:cs="Arial"/>
          <w:bCs/>
          <w:iCs/>
        </w:rPr>
        <w:t xml:space="preserve">isk </w:t>
      </w:r>
      <w:r w:rsidR="007A6C45" w:rsidRPr="00777326">
        <w:rPr>
          <w:rFonts w:cs="Arial"/>
          <w:bCs/>
          <w:iCs/>
        </w:rPr>
        <w:t>F</w:t>
      </w:r>
      <w:r w:rsidR="007023FB" w:rsidRPr="00777326">
        <w:rPr>
          <w:rFonts w:cs="Arial"/>
          <w:bCs/>
          <w:iCs/>
        </w:rPr>
        <w:t xml:space="preserve">actor </w:t>
      </w:r>
      <w:r w:rsidR="007A6C45" w:rsidRPr="00777326">
        <w:rPr>
          <w:rFonts w:cs="Arial"/>
          <w:bCs/>
          <w:iCs/>
        </w:rPr>
        <w:t>S</w:t>
      </w:r>
      <w:r w:rsidR="007023FB" w:rsidRPr="00777326">
        <w:rPr>
          <w:rFonts w:cs="Arial"/>
          <w:bCs/>
          <w:iCs/>
        </w:rPr>
        <w:t xml:space="preserve">urveillance </w:t>
      </w:r>
      <w:r w:rsidR="007A6C45" w:rsidRPr="00777326">
        <w:rPr>
          <w:rFonts w:cs="Arial"/>
          <w:bCs/>
          <w:iCs/>
        </w:rPr>
        <w:t>S</w:t>
      </w:r>
      <w:r w:rsidR="007023FB" w:rsidRPr="00777326">
        <w:rPr>
          <w:rFonts w:cs="Arial"/>
          <w:bCs/>
          <w:iCs/>
        </w:rPr>
        <w:t>urvey (BRFSS)</w:t>
      </w:r>
      <w:r w:rsidR="007A6C45" w:rsidRPr="00777326">
        <w:rPr>
          <w:rFonts w:cs="Arial"/>
          <w:bCs/>
          <w:iCs/>
        </w:rPr>
        <w:t xml:space="preserve"> showed that people with any disability were less likely than people without disabilities</w:t>
      </w:r>
      <w:r w:rsidR="008A486F" w:rsidRPr="00777326">
        <w:rPr>
          <w:rFonts w:cs="Arial"/>
          <w:bCs/>
          <w:iCs/>
        </w:rPr>
        <w:t xml:space="preserve"> to</w:t>
      </w:r>
      <w:r w:rsidR="007A6C45" w:rsidRPr="00777326">
        <w:rPr>
          <w:rFonts w:cs="Arial"/>
          <w:bCs/>
          <w:iCs/>
        </w:rPr>
        <w:t xml:space="preserve"> </w:t>
      </w:r>
      <w:r w:rsidR="00C26BAB" w:rsidRPr="00777326">
        <w:rPr>
          <w:rFonts w:cs="Arial"/>
          <w:bCs/>
          <w:iCs/>
        </w:rPr>
        <w:t>have a dental visit</w:t>
      </w:r>
      <w:r w:rsidR="007A6C45" w:rsidRPr="00777326">
        <w:rPr>
          <w:rFonts w:cs="Arial"/>
          <w:bCs/>
          <w:iCs/>
        </w:rPr>
        <w:t xml:space="preserve"> in the past year and more likely to have</w:t>
      </w:r>
      <w:r w:rsidR="00D40A1A" w:rsidRPr="00777326">
        <w:rPr>
          <w:rFonts w:cs="Arial"/>
          <w:bCs/>
          <w:iCs/>
        </w:rPr>
        <w:t xml:space="preserve"> no teeth (</w:t>
      </w:r>
      <w:proofErr w:type="spellStart"/>
      <w:r w:rsidR="00D40A1A" w:rsidRPr="00777326">
        <w:rPr>
          <w:rFonts w:cs="Arial"/>
          <w:bCs/>
          <w:iCs/>
        </w:rPr>
        <w:t>Armour</w:t>
      </w:r>
      <w:proofErr w:type="spellEnd"/>
      <w:r w:rsidR="00D40A1A" w:rsidRPr="00777326">
        <w:rPr>
          <w:rFonts w:cs="Arial"/>
          <w:bCs/>
          <w:iCs/>
        </w:rPr>
        <w:t xml:space="preserve"> et al.</w:t>
      </w:r>
      <w:r w:rsidR="007A6C45" w:rsidRPr="00777326">
        <w:rPr>
          <w:rFonts w:cs="Arial"/>
          <w:bCs/>
          <w:iCs/>
        </w:rPr>
        <w:t>, 2008)</w:t>
      </w:r>
      <w:r w:rsidR="009270D4" w:rsidRPr="00777326">
        <w:rPr>
          <w:rFonts w:cs="Arial"/>
          <w:bCs/>
          <w:iCs/>
        </w:rPr>
        <w:t>.</w:t>
      </w:r>
      <w:r w:rsidR="007023FB" w:rsidRPr="00777326">
        <w:rPr>
          <w:rFonts w:cs="Arial"/>
          <w:bCs/>
          <w:iCs/>
        </w:rPr>
        <w:t xml:space="preserve"> </w:t>
      </w:r>
      <w:r w:rsidR="00900604" w:rsidRPr="00777326">
        <w:rPr>
          <w:rFonts w:cs="Arial"/>
          <w:bCs/>
          <w:iCs/>
        </w:rPr>
        <w:t xml:space="preserve"> A national study of people with physical disabilities showed that this group has a 57% higher risk of having an unmet need for dental services and this situation worsened b</w:t>
      </w:r>
      <w:r w:rsidR="00D40A1A" w:rsidRPr="00777326">
        <w:rPr>
          <w:rFonts w:cs="Arial"/>
          <w:bCs/>
          <w:iCs/>
        </w:rPr>
        <w:t>etween 2002 and 2011 (</w:t>
      </w:r>
      <w:proofErr w:type="spellStart"/>
      <w:r w:rsidR="00D40A1A" w:rsidRPr="00777326">
        <w:rPr>
          <w:rFonts w:cs="Arial"/>
          <w:bCs/>
          <w:iCs/>
        </w:rPr>
        <w:t>Mahmoudi</w:t>
      </w:r>
      <w:proofErr w:type="spellEnd"/>
      <w:r w:rsidR="00D40A1A" w:rsidRPr="00777326">
        <w:rPr>
          <w:rFonts w:cs="Arial"/>
          <w:bCs/>
          <w:iCs/>
        </w:rPr>
        <w:t xml:space="preserve"> and Meade</w:t>
      </w:r>
      <w:r w:rsidR="00900604" w:rsidRPr="00777326">
        <w:rPr>
          <w:rFonts w:cs="Arial"/>
          <w:bCs/>
          <w:iCs/>
        </w:rPr>
        <w:t>, 2015).  P</w:t>
      </w:r>
      <w:r w:rsidR="00280E06" w:rsidRPr="00777326">
        <w:rPr>
          <w:rFonts w:cs="Arial"/>
          <w:bCs/>
          <w:iCs/>
        </w:rPr>
        <w:t>roportionally more people with</w:t>
      </w:r>
      <w:r w:rsidR="00E90242" w:rsidRPr="00777326">
        <w:rPr>
          <w:rFonts w:cs="Arial"/>
          <w:bCs/>
          <w:iCs/>
        </w:rPr>
        <w:t xml:space="preserve"> intellectual disabilities (</w:t>
      </w:r>
      <w:r w:rsidR="00280E06" w:rsidRPr="00777326">
        <w:rPr>
          <w:rFonts w:cs="Arial"/>
          <w:bCs/>
          <w:iCs/>
        </w:rPr>
        <w:t>ID</w:t>
      </w:r>
      <w:r w:rsidR="00E90242" w:rsidRPr="00777326">
        <w:rPr>
          <w:rFonts w:cs="Arial"/>
          <w:bCs/>
          <w:iCs/>
        </w:rPr>
        <w:t>)</w:t>
      </w:r>
      <w:r w:rsidR="00280E06" w:rsidRPr="00777326">
        <w:rPr>
          <w:rFonts w:cs="Arial"/>
          <w:bCs/>
          <w:iCs/>
        </w:rPr>
        <w:t xml:space="preserve"> have untreated or poorly treate</w:t>
      </w:r>
      <w:r w:rsidR="00644F70" w:rsidRPr="00777326">
        <w:rPr>
          <w:rFonts w:cs="Arial"/>
          <w:bCs/>
          <w:iCs/>
        </w:rPr>
        <w:t>d caries,</w:t>
      </w:r>
      <w:r w:rsidR="00280E06" w:rsidRPr="00777326">
        <w:rPr>
          <w:rFonts w:cs="Arial"/>
          <w:bCs/>
          <w:iCs/>
        </w:rPr>
        <w:t xml:space="preserve"> gingivitis</w:t>
      </w:r>
      <w:r w:rsidR="00644F70" w:rsidRPr="00777326">
        <w:rPr>
          <w:rFonts w:cs="Arial"/>
          <w:bCs/>
          <w:iCs/>
        </w:rPr>
        <w:t>,</w:t>
      </w:r>
      <w:r w:rsidR="00280E06" w:rsidRPr="00777326">
        <w:rPr>
          <w:rFonts w:cs="Arial"/>
          <w:bCs/>
          <w:iCs/>
        </w:rPr>
        <w:t xml:space="preserve"> and periodont</w:t>
      </w:r>
      <w:r w:rsidR="00C26BAB" w:rsidRPr="00777326">
        <w:rPr>
          <w:rFonts w:cs="Arial"/>
          <w:bCs/>
          <w:iCs/>
        </w:rPr>
        <w:t>al disease</w:t>
      </w:r>
      <w:r w:rsidR="00644F70" w:rsidRPr="00777326">
        <w:rPr>
          <w:rFonts w:cs="Arial"/>
          <w:bCs/>
          <w:iCs/>
        </w:rPr>
        <w:t xml:space="preserve"> than their peers without ID</w:t>
      </w:r>
      <w:r w:rsidR="00280E06" w:rsidRPr="00777326">
        <w:rPr>
          <w:rFonts w:cs="Arial"/>
          <w:bCs/>
          <w:iCs/>
        </w:rPr>
        <w:t>.  Risks inc</w:t>
      </w:r>
      <w:r w:rsidR="007023FB" w:rsidRPr="00777326">
        <w:rPr>
          <w:rFonts w:cs="Arial"/>
          <w:bCs/>
          <w:iCs/>
        </w:rPr>
        <w:t>rease with age for those with ID</w:t>
      </w:r>
      <w:r w:rsidR="009270D4" w:rsidRPr="00777326">
        <w:rPr>
          <w:rFonts w:cs="Arial"/>
          <w:bCs/>
          <w:iCs/>
        </w:rPr>
        <w:t xml:space="preserve"> </w:t>
      </w:r>
      <w:r w:rsidR="00280E06" w:rsidRPr="00777326">
        <w:rPr>
          <w:rFonts w:cs="Arial"/>
          <w:bCs/>
          <w:iCs/>
        </w:rPr>
        <w:t xml:space="preserve">(Owens </w:t>
      </w:r>
      <w:r w:rsidR="00F40026" w:rsidRPr="00777326">
        <w:rPr>
          <w:rFonts w:cs="Arial"/>
          <w:bCs/>
          <w:iCs/>
        </w:rPr>
        <w:t>et al.,</w:t>
      </w:r>
      <w:r w:rsidR="00280E06" w:rsidRPr="00777326">
        <w:rPr>
          <w:rFonts w:cs="Arial"/>
          <w:bCs/>
          <w:iCs/>
        </w:rPr>
        <w:t xml:space="preserve"> 2006)</w:t>
      </w:r>
      <w:r w:rsidR="009270D4" w:rsidRPr="00777326">
        <w:rPr>
          <w:rFonts w:cs="Arial"/>
          <w:bCs/>
          <w:iCs/>
        </w:rPr>
        <w:t xml:space="preserve">. </w:t>
      </w:r>
      <w:r w:rsidR="00280E06" w:rsidRPr="00777326">
        <w:rPr>
          <w:rFonts w:cs="Arial"/>
          <w:bCs/>
          <w:iCs/>
        </w:rPr>
        <w:t xml:space="preserve"> In a Mass</w:t>
      </w:r>
      <w:r w:rsidR="007023FB" w:rsidRPr="00777326">
        <w:rPr>
          <w:rFonts w:cs="Arial"/>
          <w:bCs/>
          <w:iCs/>
        </w:rPr>
        <w:t>a</w:t>
      </w:r>
      <w:r w:rsidR="00280E06" w:rsidRPr="00777326">
        <w:rPr>
          <w:rFonts w:cs="Arial"/>
          <w:bCs/>
          <w:iCs/>
        </w:rPr>
        <w:t>chusetts study, community dwelling a</w:t>
      </w:r>
      <w:r w:rsidR="007023FB" w:rsidRPr="00777326">
        <w:rPr>
          <w:rFonts w:cs="Arial"/>
          <w:bCs/>
          <w:iCs/>
        </w:rPr>
        <w:t>dults aged 20 and over with ID</w:t>
      </w:r>
      <w:r w:rsidR="00280E06" w:rsidRPr="00777326">
        <w:rPr>
          <w:rFonts w:cs="Arial"/>
          <w:bCs/>
          <w:iCs/>
        </w:rPr>
        <w:t xml:space="preserve"> and access to dental health benefits had poorer oral health </w:t>
      </w:r>
      <w:r w:rsidR="00B61F30" w:rsidRPr="00777326">
        <w:rPr>
          <w:rFonts w:cs="Arial"/>
          <w:bCs/>
          <w:iCs/>
        </w:rPr>
        <w:t>than the general population. Eighty percent</w:t>
      </w:r>
      <w:r w:rsidR="00280E06" w:rsidRPr="00777326">
        <w:rPr>
          <w:rFonts w:cs="Arial"/>
          <w:bCs/>
          <w:iCs/>
        </w:rPr>
        <w:t xml:space="preserve"> had periodont</w:t>
      </w:r>
      <w:r w:rsidR="00C26BAB" w:rsidRPr="00777326">
        <w:rPr>
          <w:rFonts w:cs="Arial"/>
          <w:bCs/>
          <w:iCs/>
        </w:rPr>
        <w:t>al disease</w:t>
      </w:r>
      <w:r w:rsidR="00280E06" w:rsidRPr="00777326">
        <w:rPr>
          <w:rFonts w:cs="Arial"/>
          <w:bCs/>
          <w:iCs/>
        </w:rPr>
        <w:t xml:space="preserve"> and 11% had no teeth. </w:t>
      </w:r>
      <w:r w:rsidR="00E90242" w:rsidRPr="00777326">
        <w:rPr>
          <w:rFonts w:cs="Arial"/>
          <w:bCs/>
          <w:iCs/>
        </w:rPr>
        <w:t xml:space="preserve">Their </w:t>
      </w:r>
      <w:proofErr w:type="spellStart"/>
      <w:r w:rsidR="00E90242" w:rsidRPr="00777326">
        <w:rPr>
          <w:rFonts w:cs="Arial"/>
          <w:bCs/>
          <w:iCs/>
        </w:rPr>
        <w:t>e</w:t>
      </w:r>
      <w:r w:rsidR="00C26BAB" w:rsidRPr="00777326">
        <w:rPr>
          <w:rFonts w:cs="Arial"/>
          <w:bCs/>
          <w:iCs/>
        </w:rPr>
        <w:t>dentulism</w:t>
      </w:r>
      <w:proofErr w:type="spellEnd"/>
      <w:r w:rsidR="00C26BAB" w:rsidRPr="00777326">
        <w:rPr>
          <w:rFonts w:cs="Arial"/>
          <w:bCs/>
          <w:iCs/>
        </w:rPr>
        <w:t xml:space="preserve"> rates</w:t>
      </w:r>
      <w:r w:rsidR="009270D4" w:rsidRPr="00777326">
        <w:rPr>
          <w:rFonts w:cs="Arial"/>
          <w:bCs/>
          <w:iCs/>
        </w:rPr>
        <w:t xml:space="preserve"> increased with age</w:t>
      </w:r>
      <w:r w:rsidR="00280E06" w:rsidRPr="00777326">
        <w:rPr>
          <w:rFonts w:cs="Arial"/>
          <w:bCs/>
          <w:iCs/>
        </w:rPr>
        <w:t xml:space="preserve"> (Morgan </w:t>
      </w:r>
      <w:r w:rsidR="00F40026" w:rsidRPr="00777326">
        <w:rPr>
          <w:rFonts w:cs="Arial"/>
          <w:bCs/>
          <w:iCs/>
        </w:rPr>
        <w:t>et al.,</w:t>
      </w:r>
      <w:r w:rsidR="00280E06" w:rsidRPr="00777326">
        <w:rPr>
          <w:rFonts w:cs="Arial"/>
          <w:bCs/>
          <w:iCs/>
        </w:rPr>
        <w:t xml:space="preserve"> 2012)</w:t>
      </w:r>
      <w:r w:rsidR="009270D4" w:rsidRPr="00777326">
        <w:rPr>
          <w:rFonts w:cs="Arial"/>
          <w:bCs/>
          <w:iCs/>
        </w:rPr>
        <w:t>.</w:t>
      </w:r>
    </w:p>
    <w:p w14:paraId="660BF56E" w14:textId="34783D10" w:rsidR="00280E06" w:rsidRPr="00777326" w:rsidRDefault="009270D4" w:rsidP="00196E86">
      <w:pPr>
        <w:spacing w:line="240" w:lineRule="auto"/>
        <w:rPr>
          <w:rFonts w:cs="Arial"/>
          <w:bCs/>
          <w:iCs/>
        </w:rPr>
      </w:pPr>
      <w:r w:rsidRPr="00777326">
        <w:rPr>
          <w:rFonts w:cs="Arial"/>
          <w:bCs/>
          <w:iCs/>
        </w:rPr>
        <w:t>Man</w:t>
      </w:r>
      <w:r w:rsidR="00E90242" w:rsidRPr="00777326">
        <w:rPr>
          <w:rFonts w:cs="Arial"/>
          <w:bCs/>
          <w:iCs/>
        </w:rPr>
        <w:t>y barriers affect the ability of</w:t>
      </w:r>
      <w:r w:rsidRPr="00777326">
        <w:rPr>
          <w:rFonts w:cs="Arial"/>
          <w:bCs/>
          <w:iCs/>
        </w:rPr>
        <w:t xml:space="preserve"> people with disabilities </w:t>
      </w:r>
      <w:r w:rsidR="00E90242" w:rsidRPr="00777326">
        <w:rPr>
          <w:rFonts w:cs="Arial"/>
          <w:bCs/>
          <w:iCs/>
        </w:rPr>
        <w:t>to receive</w:t>
      </w:r>
      <w:r w:rsidRPr="00777326">
        <w:rPr>
          <w:rFonts w:cs="Arial"/>
          <w:bCs/>
          <w:iCs/>
        </w:rPr>
        <w:t xml:space="preserve"> </w:t>
      </w:r>
      <w:r w:rsidR="00E1756A" w:rsidRPr="00777326">
        <w:rPr>
          <w:rFonts w:cs="Arial"/>
          <w:bCs/>
          <w:iCs/>
        </w:rPr>
        <w:t>oral health</w:t>
      </w:r>
      <w:r w:rsidR="00391592" w:rsidRPr="00777326">
        <w:rPr>
          <w:rFonts w:cs="Arial"/>
          <w:bCs/>
          <w:iCs/>
        </w:rPr>
        <w:t xml:space="preserve"> car</w:t>
      </w:r>
      <w:r w:rsidR="002E0030" w:rsidRPr="00777326">
        <w:rPr>
          <w:rFonts w:cs="Arial"/>
          <w:bCs/>
          <w:iCs/>
        </w:rPr>
        <w:t>e</w:t>
      </w:r>
      <w:r w:rsidRPr="00777326">
        <w:rPr>
          <w:rFonts w:cs="Arial"/>
          <w:bCs/>
          <w:iCs/>
        </w:rPr>
        <w:t xml:space="preserve">, including: inability to transfer to a dental chair, difficulty filling out forms, needing sign language interpreters, not understanding or fearing dental exams, </w:t>
      </w:r>
      <w:r w:rsidR="006E55E1" w:rsidRPr="00777326">
        <w:rPr>
          <w:rFonts w:cs="Arial"/>
          <w:bCs/>
          <w:iCs/>
        </w:rPr>
        <w:t xml:space="preserve">behavioral challenges, access to sedation and other accommodations, </w:t>
      </w:r>
      <w:r w:rsidRPr="00777326">
        <w:rPr>
          <w:rFonts w:cs="Arial"/>
          <w:bCs/>
          <w:iCs/>
        </w:rPr>
        <w:t xml:space="preserve">and unwillingness of </w:t>
      </w:r>
      <w:r w:rsidR="00C26BAB" w:rsidRPr="00777326">
        <w:rPr>
          <w:rFonts w:cs="Arial"/>
          <w:bCs/>
          <w:iCs/>
        </w:rPr>
        <w:t xml:space="preserve">some </w:t>
      </w:r>
      <w:r w:rsidRPr="00777326">
        <w:rPr>
          <w:rFonts w:cs="Arial"/>
          <w:bCs/>
          <w:iCs/>
        </w:rPr>
        <w:t xml:space="preserve">dental clinics to accept patients with disabilities (Horner-Johnson and </w:t>
      </w:r>
      <w:proofErr w:type="spellStart"/>
      <w:r w:rsidRPr="00777326">
        <w:rPr>
          <w:rFonts w:cs="Arial"/>
          <w:bCs/>
          <w:iCs/>
        </w:rPr>
        <w:t>Dobbertin</w:t>
      </w:r>
      <w:proofErr w:type="spellEnd"/>
      <w:r w:rsidRPr="00777326">
        <w:rPr>
          <w:rFonts w:cs="Arial"/>
          <w:bCs/>
          <w:iCs/>
        </w:rPr>
        <w:t>, 2016)</w:t>
      </w:r>
      <w:r w:rsidR="00CB708D" w:rsidRPr="00777326">
        <w:rPr>
          <w:rFonts w:cs="Arial"/>
          <w:bCs/>
          <w:iCs/>
        </w:rPr>
        <w:t xml:space="preserve">.  </w:t>
      </w:r>
      <w:r w:rsidR="00E90242" w:rsidRPr="00777326">
        <w:rPr>
          <w:rFonts w:cs="Arial"/>
          <w:bCs/>
          <w:iCs/>
        </w:rPr>
        <w:t xml:space="preserve"> </w:t>
      </w:r>
      <w:r w:rsidR="00CB708D" w:rsidRPr="00777326">
        <w:rPr>
          <w:rFonts w:cs="Arial"/>
          <w:bCs/>
          <w:iCs/>
        </w:rPr>
        <w:t>Also, some</w:t>
      </w:r>
      <w:r w:rsidR="007023FB" w:rsidRPr="00777326">
        <w:rPr>
          <w:rFonts w:cs="Arial"/>
          <w:bCs/>
          <w:iCs/>
        </w:rPr>
        <w:t xml:space="preserve"> </w:t>
      </w:r>
      <w:r w:rsidR="001D14A9" w:rsidRPr="00777326">
        <w:rPr>
          <w:rFonts w:cs="Arial"/>
          <w:bCs/>
          <w:iCs/>
        </w:rPr>
        <w:t>people with ID do</w:t>
      </w:r>
      <w:r w:rsidR="0020117E" w:rsidRPr="00777326">
        <w:rPr>
          <w:rFonts w:cs="Arial"/>
          <w:bCs/>
          <w:iCs/>
        </w:rPr>
        <w:t xml:space="preserve">n’t have the manual dexterity or cognitive ability to carry out daily oral hygiene themselves and their caregivers often </w:t>
      </w:r>
      <w:r w:rsidRPr="00777326">
        <w:rPr>
          <w:rFonts w:cs="Arial"/>
          <w:bCs/>
          <w:iCs/>
        </w:rPr>
        <w:t xml:space="preserve">don’t have the training </w:t>
      </w:r>
      <w:r w:rsidR="006E55E1" w:rsidRPr="00777326">
        <w:rPr>
          <w:rFonts w:cs="Arial"/>
          <w:bCs/>
          <w:iCs/>
        </w:rPr>
        <w:t xml:space="preserve">or tools </w:t>
      </w:r>
      <w:r w:rsidR="00E90242" w:rsidRPr="00777326">
        <w:rPr>
          <w:rFonts w:cs="Arial"/>
          <w:bCs/>
          <w:iCs/>
        </w:rPr>
        <w:t xml:space="preserve">to help them.  </w:t>
      </w:r>
      <w:r w:rsidR="00280E06" w:rsidRPr="00777326">
        <w:rPr>
          <w:rFonts w:cs="Arial"/>
          <w:bCs/>
          <w:iCs/>
        </w:rPr>
        <w:t>This population also often takes medi</w:t>
      </w:r>
      <w:r w:rsidRPr="00777326">
        <w:rPr>
          <w:rFonts w:cs="Arial"/>
          <w:bCs/>
          <w:iCs/>
        </w:rPr>
        <w:t xml:space="preserve">cations that </w:t>
      </w:r>
      <w:r w:rsidR="007A3632" w:rsidRPr="00777326">
        <w:rPr>
          <w:rFonts w:cs="Arial"/>
          <w:bCs/>
          <w:iCs/>
        </w:rPr>
        <w:t xml:space="preserve">cause dry mouth or otherwise </w:t>
      </w:r>
      <w:r w:rsidRPr="00777326">
        <w:rPr>
          <w:rFonts w:cs="Arial"/>
          <w:bCs/>
          <w:iCs/>
        </w:rPr>
        <w:t>affect oral health</w:t>
      </w:r>
      <w:r w:rsidR="00280E06" w:rsidRPr="00777326">
        <w:rPr>
          <w:rFonts w:cs="Arial"/>
          <w:bCs/>
          <w:iCs/>
        </w:rPr>
        <w:t xml:space="preserve"> </w:t>
      </w:r>
      <w:r w:rsidR="007023FB" w:rsidRPr="00777326">
        <w:rPr>
          <w:rFonts w:cs="Arial"/>
          <w:bCs/>
          <w:iCs/>
        </w:rPr>
        <w:t>(Anders and Davis, 2010)</w:t>
      </w:r>
      <w:r w:rsidRPr="00777326">
        <w:rPr>
          <w:rFonts w:cs="Arial"/>
          <w:bCs/>
          <w:iCs/>
        </w:rPr>
        <w:t>.</w:t>
      </w:r>
    </w:p>
    <w:p w14:paraId="73D36BDA" w14:textId="3E4502D6" w:rsidR="00A86E13" w:rsidRPr="00777326" w:rsidRDefault="00E90242" w:rsidP="00D30A34">
      <w:pPr>
        <w:spacing w:after="480" w:line="240" w:lineRule="auto"/>
      </w:pPr>
      <w:r w:rsidRPr="00777326">
        <w:t>B</w:t>
      </w:r>
      <w:r w:rsidR="000253F4" w:rsidRPr="00777326">
        <w:t xml:space="preserve">arriers </w:t>
      </w:r>
      <w:r w:rsidRPr="00777326">
        <w:t xml:space="preserve">like these </w:t>
      </w:r>
      <w:r w:rsidR="000253F4" w:rsidRPr="00777326">
        <w:t xml:space="preserve">result in less </w:t>
      </w:r>
      <w:r w:rsidR="009270D4" w:rsidRPr="00777326">
        <w:t>use of prevention services</w:t>
      </w:r>
      <w:r w:rsidR="000253F4" w:rsidRPr="00777326">
        <w:t>.</w:t>
      </w:r>
      <w:r w:rsidR="00520791" w:rsidRPr="00777326">
        <w:t xml:space="preserve"> </w:t>
      </w:r>
      <w:r w:rsidR="000253F4" w:rsidRPr="00777326">
        <w:rPr>
          <w:rFonts w:cs="Arial"/>
          <w:bCs/>
          <w:iCs/>
        </w:rPr>
        <w:t xml:space="preserve"> A national</w:t>
      </w:r>
      <w:r w:rsidR="00B17F6A" w:rsidRPr="00777326">
        <w:rPr>
          <w:rFonts w:cs="Arial"/>
          <w:bCs/>
          <w:iCs/>
        </w:rPr>
        <w:t xml:space="preserve"> study found that adults aged 18-64 with physical, cognitive, vision, hearing, or complex activity limitations had significantly higher rates of having less than 1 dental checkup per year, experiencing delays in getting dental care or being unable to get it.  All results remained significant after controlling for socio-economic variab</w:t>
      </w:r>
      <w:r w:rsidR="009763A6" w:rsidRPr="00777326">
        <w:rPr>
          <w:rFonts w:cs="Arial"/>
          <w:bCs/>
          <w:iCs/>
        </w:rPr>
        <w:t>les and</w:t>
      </w:r>
      <w:r w:rsidR="009270D4" w:rsidRPr="00777326">
        <w:rPr>
          <w:rFonts w:cs="Arial"/>
          <w:bCs/>
          <w:iCs/>
        </w:rPr>
        <w:t xml:space="preserve"> dental insurance</w:t>
      </w:r>
      <w:r w:rsidR="00B17F6A" w:rsidRPr="00777326">
        <w:rPr>
          <w:rFonts w:cs="Arial"/>
          <w:bCs/>
          <w:iCs/>
        </w:rPr>
        <w:t xml:space="preserve"> </w:t>
      </w:r>
      <w:r w:rsidR="009763A6" w:rsidRPr="00777326">
        <w:rPr>
          <w:rFonts w:cs="Arial"/>
          <w:bCs/>
          <w:iCs/>
        </w:rPr>
        <w:t xml:space="preserve">status </w:t>
      </w:r>
      <w:r w:rsidR="00B17F6A" w:rsidRPr="00777326">
        <w:rPr>
          <w:rFonts w:cs="Arial"/>
          <w:bCs/>
          <w:iCs/>
        </w:rPr>
        <w:t xml:space="preserve">(Horner-Johnson and </w:t>
      </w:r>
      <w:proofErr w:type="spellStart"/>
      <w:r w:rsidR="00B17F6A" w:rsidRPr="00777326">
        <w:rPr>
          <w:rFonts w:cs="Arial"/>
          <w:bCs/>
          <w:iCs/>
        </w:rPr>
        <w:t>Dobbertin</w:t>
      </w:r>
      <w:proofErr w:type="spellEnd"/>
      <w:r w:rsidR="00B17F6A" w:rsidRPr="00777326">
        <w:rPr>
          <w:rFonts w:cs="Arial"/>
          <w:bCs/>
          <w:iCs/>
        </w:rPr>
        <w:t>, 2016)</w:t>
      </w:r>
      <w:r w:rsidR="009270D4" w:rsidRPr="00777326">
        <w:rPr>
          <w:rFonts w:cs="Arial"/>
          <w:bCs/>
          <w:iCs/>
        </w:rPr>
        <w:t>.</w:t>
      </w:r>
      <w:r w:rsidR="00CB63BE" w:rsidRPr="00777326">
        <w:t xml:space="preserve"> </w:t>
      </w:r>
      <w:r w:rsidR="00B61F30" w:rsidRPr="00777326">
        <w:t xml:space="preserve"> A</w:t>
      </w:r>
      <w:r w:rsidR="00B17F6A" w:rsidRPr="00777326">
        <w:t xml:space="preserve">bout 53% of people with disabilities aged </w:t>
      </w:r>
      <w:r w:rsidR="00A55F32" w:rsidRPr="00777326">
        <w:t>18-64 and aged 65 and over had dental visits in the last year</w:t>
      </w:r>
      <w:r w:rsidR="00520791" w:rsidRPr="00777326">
        <w:t xml:space="preserve"> compared with</w:t>
      </w:r>
      <w:r w:rsidR="00A55F32" w:rsidRPr="00777326">
        <w:t xml:space="preserve"> 64.9% and 71.7%</w:t>
      </w:r>
      <w:r w:rsidR="00B17F6A" w:rsidRPr="00777326">
        <w:t>,</w:t>
      </w:r>
      <w:r w:rsidR="00520791" w:rsidRPr="00777326">
        <w:t xml:space="preserve"> </w:t>
      </w:r>
      <w:r w:rsidR="00B17F6A" w:rsidRPr="00777326">
        <w:t xml:space="preserve">respectively, </w:t>
      </w:r>
      <w:r w:rsidR="00520791" w:rsidRPr="00777326">
        <w:t xml:space="preserve">of </w:t>
      </w:r>
      <w:r w:rsidR="00CB63BE" w:rsidRPr="00777326">
        <w:t>their peers</w:t>
      </w:r>
      <w:r w:rsidR="00520791" w:rsidRPr="00777326">
        <w:t xml:space="preserve"> without disabilities</w:t>
      </w:r>
      <w:r w:rsidR="00A55F32" w:rsidRPr="00777326">
        <w:t xml:space="preserve">.  </w:t>
      </w:r>
      <w:r w:rsidR="00B17F6A" w:rsidRPr="00777326">
        <w:t>In 2013, 26.6% of people with any disability of any age did not get needed dental care due to</w:t>
      </w:r>
      <w:r w:rsidR="00C26BAB" w:rsidRPr="00777326">
        <w:t xml:space="preserve"> cost, </w:t>
      </w:r>
      <w:r w:rsidR="00B17F6A" w:rsidRPr="00777326">
        <w:t>compared to 10.1% fo</w:t>
      </w:r>
      <w:r w:rsidR="00D819B0" w:rsidRPr="00777326">
        <w:t>r those with no disabilities</w:t>
      </w:r>
      <w:r w:rsidR="00B17F6A" w:rsidRPr="00777326">
        <w:t xml:space="preserve"> (DHHS Health United States, 2014)</w:t>
      </w:r>
      <w:r w:rsidR="00D819B0" w:rsidRPr="00777326">
        <w:t>.</w:t>
      </w:r>
      <w:r w:rsidR="00B17F6A" w:rsidRPr="00777326">
        <w:t xml:space="preserve"> </w:t>
      </w:r>
      <w:r w:rsidRPr="00777326">
        <w:t xml:space="preserve"> </w:t>
      </w:r>
      <w:r w:rsidR="00A86E13" w:rsidRPr="00777326">
        <w:rPr>
          <w:rFonts w:cs="Arial"/>
          <w:bCs/>
          <w:iCs/>
        </w:rPr>
        <w:t>Attention to the unique needs of people with disabilities of any age is critical to making progress in improving their ora</w:t>
      </w:r>
      <w:r w:rsidR="009270D4" w:rsidRPr="00777326">
        <w:rPr>
          <w:rFonts w:cs="Arial"/>
          <w:bCs/>
          <w:iCs/>
        </w:rPr>
        <w:t>l health and avoiding the</w:t>
      </w:r>
      <w:r w:rsidR="006B5D30" w:rsidRPr="00777326">
        <w:rPr>
          <w:rFonts w:cs="Arial"/>
          <w:bCs/>
          <w:iCs/>
        </w:rPr>
        <w:t xml:space="preserve"> consequences </w:t>
      </w:r>
      <w:r w:rsidR="00A86E13" w:rsidRPr="00777326">
        <w:rPr>
          <w:rFonts w:cs="Arial"/>
          <w:bCs/>
          <w:iCs/>
        </w:rPr>
        <w:t>of failing to do so</w:t>
      </w:r>
      <w:r w:rsidR="006E55E1" w:rsidRPr="00777326">
        <w:rPr>
          <w:rFonts w:cs="Arial"/>
          <w:bCs/>
          <w:iCs/>
        </w:rPr>
        <w:t>,</w:t>
      </w:r>
      <w:r w:rsidR="00EA2CF2">
        <w:rPr>
          <w:rFonts w:cs="Arial"/>
          <w:bCs/>
          <w:iCs/>
        </w:rPr>
        <w:t xml:space="preserve"> which</w:t>
      </w:r>
      <w:r w:rsidRPr="00777326">
        <w:rPr>
          <w:rFonts w:cs="Arial"/>
          <w:bCs/>
          <w:iCs/>
        </w:rPr>
        <w:t xml:space="preserve"> include</w:t>
      </w:r>
      <w:r w:rsidR="006E55E1" w:rsidRPr="00777326">
        <w:rPr>
          <w:rFonts w:cs="Arial"/>
          <w:bCs/>
          <w:iCs/>
        </w:rPr>
        <w:t xml:space="preserve"> the human cost, and the cost of other clinical care re</w:t>
      </w:r>
      <w:r w:rsidRPr="00777326">
        <w:rPr>
          <w:rFonts w:cs="Arial"/>
          <w:bCs/>
          <w:iCs/>
        </w:rPr>
        <w:t>lated to the lack of dental services</w:t>
      </w:r>
      <w:r w:rsidR="006E55E1" w:rsidRPr="00777326">
        <w:rPr>
          <w:rFonts w:cs="Arial"/>
          <w:bCs/>
          <w:iCs/>
        </w:rPr>
        <w:t xml:space="preserve">. </w:t>
      </w:r>
      <w:r w:rsidR="000253F4" w:rsidRPr="00777326">
        <w:rPr>
          <w:rFonts w:cs="Arial"/>
          <w:bCs/>
          <w:iCs/>
        </w:rPr>
        <w:t xml:space="preserve"> </w:t>
      </w:r>
    </w:p>
    <w:p w14:paraId="10DD83CF" w14:textId="75FBF928" w:rsidR="00094764" w:rsidRPr="00D84566" w:rsidRDefault="0033769E" w:rsidP="00D84566">
      <w:pPr>
        <w:pStyle w:val="Heading1"/>
        <w:numPr>
          <w:ilvl w:val="0"/>
          <w:numId w:val="19"/>
        </w:numPr>
        <w:rPr>
          <w:rFonts w:ascii="Calibri" w:hAnsi="Calibri"/>
          <w:color w:val="auto"/>
          <w:sz w:val="22"/>
          <w:szCs w:val="22"/>
        </w:rPr>
      </w:pPr>
      <w:r w:rsidRPr="00D84566">
        <w:rPr>
          <w:rFonts w:ascii="Calibri" w:hAnsi="Calibri"/>
          <w:color w:val="auto"/>
          <w:sz w:val="22"/>
          <w:szCs w:val="22"/>
        </w:rPr>
        <w:lastRenderedPageBreak/>
        <w:t>Publicly-f</w:t>
      </w:r>
      <w:r w:rsidR="00614C02" w:rsidRPr="00D84566">
        <w:rPr>
          <w:rFonts w:ascii="Calibri" w:hAnsi="Calibri"/>
          <w:color w:val="auto"/>
          <w:sz w:val="22"/>
          <w:szCs w:val="22"/>
        </w:rPr>
        <w:t xml:space="preserve">unded </w:t>
      </w:r>
      <w:r w:rsidR="00094764" w:rsidRPr="00D84566">
        <w:rPr>
          <w:rFonts w:ascii="Calibri" w:hAnsi="Calibri"/>
          <w:color w:val="auto"/>
          <w:sz w:val="22"/>
          <w:szCs w:val="22"/>
        </w:rPr>
        <w:t>Dental Health Coverage for Older Adults and Adults with Disabilities</w:t>
      </w:r>
    </w:p>
    <w:p w14:paraId="1D16482F" w14:textId="2C65C4A5" w:rsidR="00E3165A" w:rsidRPr="00777326" w:rsidRDefault="009270D4" w:rsidP="00196E86">
      <w:pPr>
        <w:spacing w:line="240" w:lineRule="auto"/>
      </w:pPr>
      <w:r w:rsidRPr="00777326">
        <w:t>Among</w:t>
      </w:r>
      <w:r w:rsidR="00974092" w:rsidRPr="00777326">
        <w:t xml:space="preserve"> the barriers</w:t>
      </w:r>
      <w:r w:rsidRPr="00777326">
        <w:t xml:space="preserve"> causing</w:t>
      </w:r>
      <w:r w:rsidR="00B17F6A" w:rsidRPr="00777326">
        <w:t xml:space="preserve"> disparities</w:t>
      </w:r>
      <w:r w:rsidRPr="00777326">
        <w:t xml:space="preserve"> </w:t>
      </w:r>
      <w:r w:rsidR="009463A5" w:rsidRPr="00777326">
        <w:t xml:space="preserve">in oral health </w:t>
      </w:r>
      <w:r w:rsidRPr="00777326">
        <w:t>for older adults and adults with disabilities</w:t>
      </w:r>
      <w:r w:rsidR="00974092" w:rsidRPr="00777326">
        <w:t xml:space="preserve"> are affordability and lack of dental coverage. </w:t>
      </w:r>
      <w:r w:rsidR="006B5D30" w:rsidRPr="00777326">
        <w:t>Half of older adults with incomes below $35,000</w:t>
      </w:r>
      <w:r w:rsidR="00E3165A" w:rsidRPr="00777326">
        <w:t xml:space="preserve"> say they do not visit the dentist </w:t>
      </w:r>
      <w:r w:rsidR="006B5D30" w:rsidRPr="00777326">
        <w:t xml:space="preserve">routinely </w:t>
      </w:r>
      <w:r w:rsidR="00E3165A" w:rsidRPr="00777326">
        <w:t xml:space="preserve">because </w:t>
      </w:r>
      <w:r w:rsidR="00956D54" w:rsidRPr="00777326">
        <w:t>they cannot afford it</w:t>
      </w:r>
      <w:r w:rsidR="00E3165A" w:rsidRPr="00777326">
        <w:t xml:space="preserve"> (Oral Health America, 2016)</w:t>
      </w:r>
      <w:r w:rsidR="0013256A" w:rsidRPr="00777326">
        <w:t>.</w:t>
      </w:r>
      <w:r w:rsidR="005E5C4F" w:rsidRPr="00777326">
        <w:t xml:space="preserve"> </w:t>
      </w:r>
      <w:r w:rsidR="009D4ED5" w:rsidRPr="00777326">
        <w:t xml:space="preserve"> </w:t>
      </w:r>
      <w:r w:rsidR="00E8436E" w:rsidRPr="00777326">
        <w:t>Affordability is a critical issue for those who rely on Medica</w:t>
      </w:r>
      <w:r w:rsidRPr="00777326">
        <w:t xml:space="preserve">re or Medicaid because </w:t>
      </w:r>
      <w:r w:rsidR="00203322" w:rsidRPr="00777326">
        <w:t>Medicare</w:t>
      </w:r>
      <w:r w:rsidRPr="00777326">
        <w:t xml:space="preserve"> </w:t>
      </w:r>
      <w:r w:rsidR="00E8436E" w:rsidRPr="00777326">
        <w:t>covers</w:t>
      </w:r>
      <w:r w:rsidR="00A2630B" w:rsidRPr="00777326">
        <w:t xml:space="preserve"> </w:t>
      </w:r>
      <w:r w:rsidRPr="00777326">
        <w:t xml:space="preserve">only </w:t>
      </w:r>
      <w:r w:rsidR="00A2630B" w:rsidRPr="00777326">
        <w:t>certain medically-related</w:t>
      </w:r>
      <w:r w:rsidR="00CB708D" w:rsidRPr="00777326">
        <w:t xml:space="preserve"> dental</w:t>
      </w:r>
      <w:r w:rsidR="00A2630B" w:rsidRPr="00777326">
        <w:t xml:space="preserve"> services</w:t>
      </w:r>
      <w:r w:rsidR="00DC4CBC" w:rsidRPr="00777326">
        <w:t xml:space="preserve">, and </w:t>
      </w:r>
      <w:r w:rsidR="00E8436E" w:rsidRPr="00777326">
        <w:t xml:space="preserve">Medicaid </w:t>
      </w:r>
      <w:r w:rsidR="000706B9" w:rsidRPr="00777326">
        <w:t xml:space="preserve">for adults </w:t>
      </w:r>
      <w:r w:rsidR="00E8436E" w:rsidRPr="00777326">
        <w:t>has</w:t>
      </w:r>
      <w:r w:rsidR="00DC4CBC" w:rsidRPr="00777326">
        <w:t xml:space="preserve"> limited</w:t>
      </w:r>
      <w:r w:rsidR="00974092" w:rsidRPr="00777326">
        <w:t xml:space="preserve"> </w:t>
      </w:r>
      <w:r w:rsidR="000706B9" w:rsidRPr="00777326">
        <w:t xml:space="preserve">dental benefits </w:t>
      </w:r>
      <w:r w:rsidR="00956D54" w:rsidRPr="00777326">
        <w:t>in</w:t>
      </w:r>
      <w:r w:rsidR="00DC4CBC" w:rsidRPr="00777326">
        <w:t xml:space="preserve"> many states</w:t>
      </w:r>
      <w:r w:rsidR="00E6293B" w:rsidRPr="00777326">
        <w:t>.</w:t>
      </w:r>
      <w:r w:rsidR="009D4ED5" w:rsidRPr="00777326">
        <w:t xml:space="preserve">  </w:t>
      </w:r>
      <w:r w:rsidR="009763A6" w:rsidRPr="00777326">
        <w:t>Funding for</w:t>
      </w:r>
      <w:r w:rsidRPr="00777326">
        <w:t xml:space="preserve"> Community Health Centers provides some relief to people with low incomes in medically underserved areas and the </w:t>
      </w:r>
      <w:r w:rsidR="00D819B0" w:rsidRPr="00777326">
        <w:t>Older Americans Act program has</w:t>
      </w:r>
      <w:r w:rsidRPr="00777326">
        <w:t xml:space="preserve"> a new impetus to </w:t>
      </w:r>
      <w:r w:rsidR="003F49DF" w:rsidRPr="00777326">
        <w:t xml:space="preserve">engage in oral health promotion as a result of recent changes. </w:t>
      </w:r>
    </w:p>
    <w:p w14:paraId="7ADBFE73" w14:textId="41FB30DC" w:rsidR="00094764" w:rsidRPr="005761E5" w:rsidRDefault="00137751" w:rsidP="005761E5">
      <w:pPr>
        <w:pStyle w:val="Heading1"/>
        <w:ind w:left="720"/>
        <w:rPr>
          <w:rFonts w:asciiTheme="minorHAnsi" w:hAnsiTheme="minorHAnsi"/>
          <w:color w:val="auto"/>
          <w:sz w:val="22"/>
          <w:szCs w:val="22"/>
        </w:rPr>
      </w:pPr>
      <w:proofErr w:type="gramStart"/>
      <w:r w:rsidRPr="005761E5">
        <w:rPr>
          <w:rFonts w:asciiTheme="minorHAnsi" w:hAnsiTheme="minorHAnsi"/>
          <w:color w:val="auto"/>
          <w:sz w:val="22"/>
          <w:szCs w:val="22"/>
        </w:rPr>
        <w:t>5</w:t>
      </w:r>
      <w:r w:rsidR="00614C02" w:rsidRPr="005761E5">
        <w:rPr>
          <w:rFonts w:asciiTheme="minorHAnsi" w:hAnsiTheme="minorHAnsi"/>
          <w:color w:val="auto"/>
          <w:sz w:val="22"/>
          <w:szCs w:val="22"/>
        </w:rPr>
        <w:t>.a</w:t>
      </w:r>
      <w:proofErr w:type="gramEnd"/>
      <w:r w:rsidR="00614C02" w:rsidRPr="005761E5">
        <w:rPr>
          <w:rFonts w:asciiTheme="minorHAnsi" w:hAnsiTheme="minorHAnsi"/>
          <w:color w:val="auto"/>
          <w:sz w:val="22"/>
          <w:szCs w:val="22"/>
        </w:rPr>
        <w:t xml:space="preserve">. </w:t>
      </w:r>
      <w:r w:rsidR="00094764" w:rsidRPr="005761E5">
        <w:rPr>
          <w:rFonts w:asciiTheme="minorHAnsi" w:hAnsiTheme="minorHAnsi"/>
          <w:color w:val="auto"/>
          <w:sz w:val="22"/>
          <w:szCs w:val="22"/>
        </w:rPr>
        <w:t>Medicare</w:t>
      </w:r>
    </w:p>
    <w:p w14:paraId="64BD77A3" w14:textId="7BE55DC4" w:rsidR="00971AE9" w:rsidRPr="00777326" w:rsidRDefault="00E6293B" w:rsidP="00196E86">
      <w:pPr>
        <w:spacing w:line="240" w:lineRule="auto"/>
        <w:rPr>
          <w:rFonts w:cs="Arial"/>
          <w:iCs/>
        </w:rPr>
      </w:pPr>
      <w:proofErr w:type="gramStart"/>
      <w:r w:rsidRPr="00777326">
        <w:rPr>
          <w:rFonts w:cs="Arial"/>
          <w:iCs/>
        </w:rPr>
        <w:t xml:space="preserve">The </w:t>
      </w:r>
      <w:r w:rsidR="00971AE9" w:rsidRPr="00777326">
        <w:rPr>
          <w:rFonts w:cs="Arial"/>
          <w:iCs/>
        </w:rPr>
        <w:t>Social Security Act</w:t>
      </w:r>
      <w:r w:rsidRPr="00777326">
        <w:rPr>
          <w:rFonts w:cs="Arial"/>
          <w:iCs/>
        </w:rPr>
        <w:t>, Section</w:t>
      </w:r>
      <w:bookmarkStart w:id="1" w:name="act-1862"/>
      <w:r w:rsidRPr="00777326">
        <w:rPr>
          <w:rFonts w:cs="Arial"/>
          <w:iCs/>
        </w:rPr>
        <w:t xml:space="preserve"> </w:t>
      </w:r>
      <w:r w:rsidR="00971AE9" w:rsidRPr="00777326">
        <w:rPr>
          <w:rFonts w:cs="Arial"/>
          <w:iCs/>
        </w:rPr>
        <w:t>1862</w:t>
      </w:r>
      <w:bookmarkEnd w:id="1"/>
      <w:r w:rsidRPr="00777326">
        <w:rPr>
          <w:rFonts w:cs="Arial"/>
          <w:iCs/>
        </w:rPr>
        <w:t xml:space="preserve"> (12) states that Medicare will not pay for services “</w:t>
      </w:r>
      <w:r w:rsidR="00971AE9" w:rsidRPr="00777326">
        <w:rPr>
          <w:rFonts w:cs="Arial"/>
          <w:iCs/>
        </w:rPr>
        <w:t>in connection with the care, treatment, filling, removal, or replacement of teeth or structures directly supporting teeth</w:t>
      </w:r>
      <w:r w:rsidR="009D4ED5" w:rsidRPr="00777326">
        <w:rPr>
          <w:rFonts w:cs="Arial"/>
          <w:iCs/>
        </w:rPr>
        <w:t>.”</w:t>
      </w:r>
      <w:proofErr w:type="gramEnd"/>
      <w:r w:rsidR="009D4ED5" w:rsidRPr="00777326">
        <w:rPr>
          <w:rFonts w:cs="Arial"/>
          <w:iCs/>
        </w:rPr>
        <w:t xml:space="preserve">  </w:t>
      </w:r>
      <w:r w:rsidRPr="00777326">
        <w:rPr>
          <w:rFonts w:cs="Arial"/>
          <w:iCs/>
        </w:rPr>
        <w:t>The Act provides for an exception under Medicare Part</w:t>
      </w:r>
      <w:r w:rsidR="00A2630B" w:rsidRPr="00777326">
        <w:rPr>
          <w:rFonts w:cs="Arial"/>
          <w:iCs/>
        </w:rPr>
        <w:t xml:space="preserve"> A </w:t>
      </w:r>
      <w:r w:rsidRPr="00777326">
        <w:rPr>
          <w:rFonts w:cs="Arial"/>
          <w:iCs/>
        </w:rPr>
        <w:t>“</w:t>
      </w:r>
      <w:r w:rsidR="00971AE9" w:rsidRPr="00777326">
        <w:rPr>
          <w:rFonts w:cs="Arial"/>
          <w:iCs/>
        </w:rPr>
        <w:t>if the individual, because of his underlying medical condition and clinical status or because of the severity of the dental procedure, requires hospitalization</w:t>
      </w:r>
      <w:r w:rsidRPr="00777326">
        <w:rPr>
          <w:rFonts w:cs="Arial"/>
          <w:iCs/>
        </w:rPr>
        <w:t xml:space="preserve">…” </w:t>
      </w:r>
      <w:r w:rsidR="00971AE9" w:rsidRPr="00777326">
        <w:rPr>
          <w:rFonts w:cs="Arial"/>
          <w:iCs/>
        </w:rPr>
        <w:t>(Social Security Act, accessed July 2016)</w:t>
      </w:r>
      <w:r w:rsidR="00D819B0" w:rsidRPr="00777326">
        <w:rPr>
          <w:rFonts w:cs="Arial"/>
          <w:iCs/>
        </w:rPr>
        <w:t>.</w:t>
      </w:r>
    </w:p>
    <w:p w14:paraId="53A39DC7" w14:textId="77777777" w:rsidR="00E6293B" w:rsidRPr="00777326" w:rsidRDefault="00546107" w:rsidP="00196E86">
      <w:pPr>
        <w:spacing w:line="240" w:lineRule="auto"/>
        <w:rPr>
          <w:rFonts w:cs="Arial"/>
          <w:iCs/>
          <w:lang w:val="en"/>
        </w:rPr>
      </w:pPr>
      <w:r w:rsidRPr="00777326">
        <w:rPr>
          <w:rFonts w:cs="Arial"/>
          <w:iCs/>
        </w:rPr>
        <w:t xml:space="preserve">In interpreting the Act, </w:t>
      </w:r>
      <w:r w:rsidR="00E96694" w:rsidRPr="00777326">
        <w:rPr>
          <w:rFonts w:cs="Arial"/>
          <w:iCs/>
        </w:rPr>
        <w:t>the Centers for Medicare &amp; Medicaid Services (</w:t>
      </w:r>
      <w:r w:rsidR="00E6293B" w:rsidRPr="00777326">
        <w:rPr>
          <w:rFonts w:cs="Arial"/>
          <w:iCs/>
        </w:rPr>
        <w:t>CMS</w:t>
      </w:r>
      <w:r w:rsidR="00E96694" w:rsidRPr="00777326">
        <w:rPr>
          <w:rFonts w:cs="Arial"/>
          <w:iCs/>
        </w:rPr>
        <w:t>)</w:t>
      </w:r>
      <w:r w:rsidR="00E8436E" w:rsidRPr="00777326">
        <w:rPr>
          <w:rFonts w:cs="Arial"/>
          <w:iCs/>
        </w:rPr>
        <w:t xml:space="preserve"> state</w:t>
      </w:r>
      <w:r w:rsidR="006E55E1" w:rsidRPr="00777326">
        <w:rPr>
          <w:rFonts w:cs="Arial"/>
          <w:iCs/>
        </w:rPr>
        <w:t>s</w:t>
      </w:r>
      <w:r w:rsidR="00E6293B" w:rsidRPr="00777326">
        <w:rPr>
          <w:rFonts w:cs="Arial"/>
          <w:iCs/>
        </w:rPr>
        <w:t xml:space="preserve"> that </w:t>
      </w:r>
      <w:r w:rsidR="00E6293B" w:rsidRPr="00777326">
        <w:rPr>
          <w:rFonts w:cs="Arial"/>
          <w:iCs/>
          <w:lang w:val="en"/>
        </w:rPr>
        <w:t>Medicare will pay for dental services that are an integral part either of a covered procedure (e.g., reconstruction of the jaw following accidental injury), or for extractions done in preparation for radiation treatment for neoplastic diseases involving t</w:t>
      </w:r>
      <w:r w:rsidR="00AB40AE" w:rsidRPr="00777326">
        <w:rPr>
          <w:rFonts w:cs="Arial"/>
          <w:iCs/>
          <w:lang w:val="en"/>
        </w:rPr>
        <w:t>he jaw. Medicare will also pay</w:t>
      </w:r>
      <w:r w:rsidR="00E6293B" w:rsidRPr="00777326">
        <w:rPr>
          <w:rFonts w:cs="Arial"/>
          <w:iCs/>
          <w:lang w:val="en"/>
        </w:rPr>
        <w:t xml:space="preserve"> for oral examinations, but not treatment, preceding kidney transplantation or heart valve replacement, under certain circumstances (CMS, accessed July 2016)</w:t>
      </w:r>
    </w:p>
    <w:p w14:paraId="46E8B4E8" w14:textId="4A49BE8F" w:rsidR="00971AE9" w:rsidRPr="00777326" w:rsidRDefault="00971AE9" w:rsidP="00597425">
      <w:pPr>
        <w:autoSpaceDE w:val="0"/>
        <w:autoSpaceDN w:val="0"/>
        <w:adjustRightInd w:val="0"/>
        <w:spacing w:after="0" w:line="240" w:lineRule="auto"/>
        <w:rPr>
          <w:rFonts w:cs="ArialMT"/>
          <w:color w:val="080000"/>
        </w:rPr>
      </w:pPr>
      <w:r w:rsidRPr="00777326">
        <w:rPr>
          <w:rFonts w:cs="Arial"/>
          <w:iCs/>
        </w:rPr>
        <w:t xml:space="preserve">The Center for Medicare Advocacy argues that the controlling Medicare statute excludes only coverage of </w:t>
      </w:r>
      <w:r w:rsidRPr="00777326">
        <w:rPr>
          <w:rFonts w:cs="Arial"/>
          <w:iCs/>
          <w:u w:val="single"/>
        </w:rPr>
        <w:t>routine</w:t>
      </w:r>
      <w:r w:rsidR="000706B9" w:rsidRPr="00777326">
        <w:rPr>
          <w:rFonts w:cs="Arial"/>
          <w:iCs/>
        </w:rPr>
        <w:t xml:space="preserve"> </w:t>
      </w:r>
      <w:r w:rsidRPr="00777326">
        <w:rPr>
          <w:rFonts w:cs="Arial"/>
          <w:iCs/>
        </w:rPr>
        <w:t>dental services, as descr</w:t>
      </w:r>
      <w:r w:rsidR="0013256A" w:rsidRPr="00777326">
        <w:rPr>
          <w:rFonts w:cs="Arial"/>
          <w:iCs/>
        </w:rPr>
        <w:t>ibed in its legislative history</w:t>
      </w:r>
      <w:r w:rsidRPr="00777326">
        <w:rPr>
          <w:rFonts w:cs="Arial"/>
          <w:iCs/>
        </w:rPr>
        <w:t xml:space="preserve"> (National Medicare Advocates Alliance, 2009)</w:t>
      </w:r>
      <w:r w:rsidR="0013256A" w:rsidRPr="00777326">
        <w:rPr>
          <w:rFonts w:cs="Arial"/>
          <w:iCs/>
        </w:rPr>
        <w:t xml:space="preserve">. </w:t>
      </w:r>
      <w:r w:rsidR="000E257C" w:rsidRPr="00777326">
        <w:rPr>
          <w:rFonts w:cs="Arial"/>
          <w:iCs/>
        </w:rPr>
        <w:t xml:space="preserve"> </w:t>
      </w:r>
      <w:r w:rsidR="00614C02" w:rsidRPr="00777326">
        <w:rPr>
          <w:rFonts w:cs="Arial"/>
          <w:iCs/>
        </w:rPr>
        <w:t>According to the Center</w:t>
      </w:r>
      <w:r w:rsidR="009D4ED5" w:rsidRPr="00777326">
        <w:rPr>
          <w:rFonts w:cs="Arial"/>
          <w:iCs/>
        </w:rPr>
        <w:t xml:space="preserve"> for Medicare Advocacy</w:t>
      </w:r>
      <w:r w:rsidR="00614C02" w:rsidRPr="00777326">
        <w:rPr>
          <w:rFonts w:cs="Arial"/>
          <w:iCs/>
        </w:rPr>
        <w:t>, t</w:t>
      </w:r>
      <w:r w:rsidRPr="00777326">
        <w:rPr>
          <w:rFonts w:cs="Arial"/>
          <w:bCs/>
          <w:iCs/>
        </w:rPr>
        <w:t xml:space="preserve">he fact that the dental exclusion in the Medicare statute is one in a list of exclusions of routine services is evidence that this exclusion was </w:t>
      </w:r>
      <w:r w:rsidR="006E0AB2" w:rsidRPr="00777326">
        <w:rPr>
          <w:rFonts w:cs="Arial"/>
          <w:bCs/>
          <w:iCs/>
        </w:rPr>
        <w:t xml:space="preserve">not </w:t>
      </w:r>
      <w:r w:rsidRPr="00777326">
        <w:rPr>
          <w:rFonts w:cs="Arial"/>
          <w:bCs/>
          <w:iCs/>
        </w:rPr>
        <w:t>meant to apply to those</w:t>
      </w:r>
      <w:r w:rsidR="006E0AB2" w:rsidRPr="00777326">
        <w:rPr>
          <w:rFonts w:cs="Arial"/>
          <w:bCs/>
          <w:iCs/>
        </w:rPr>
        <w:t xml:space="preserve"> services</w:t>
      </w:r>
      <w:r w:rsidRPr="00777326">
        <w:rPr>
          <w:rFonts w:cs="Arial"/>
          <w:bCs/>
          <w:iCs/>
        </w:rPr>
        <w:t xml:space="preserve"> that are reasonable and necessary for medical treatment</w:t>
      </w:r>
      <w:r w:rsidR="0013256A" w:rsidRPr="00777326">
        <w:rPr>
          <w:rFonts w:cs="Arial"/>
          <w:b/>
          <w:bCs/>
          <w:iCs/>
        </w:rPr>
        <w:t xml:space="preserve"> </w:t>
      </w:r>
      <w:r w:rsidR="006A41B0" w:rsidRPr="00777326">
        <w:rPr>
          <w:rFonts w:cs="Arial"/>
          <w:iCs/>
        </w:rPr>
        <w:t>(National Medicare Advocates Alliance, 2009)</w:t>
      </w:r>
      <w:r w:rsidR="0013256A" w:rsidRPr="00777326">
        <w:rPr>
          <w:rFonts w:cs="Arial"/>
          <w:iCs/>
        </w:rPr>
        <w:t>.</w:t>
      </w:r>
      <w:r w:rsidR="00F703A4" w:rsidRPr="00777326">
        <w:rPr>
          <w:rFonts w:cs="Arial"/>
          <w:iCs/>
        </w:rPr>
        <w:t xml:space="preserve"> </w:t>
      </w:r>
      <w:r w:rsidR="00597425" w:rsidRPr="00777326">
        <w:rPr>
          <w:rFonts w:cs="Arial"/>
          <w:iCs/>
        </w:rPr>
        <w:t xml:space="preserve"> In 2016, </w:t>
      </w:r>
      <w:r w:rsidR="00F703A4" w:rsidRPr="00777326">
        <w:rPr>
          <w:rFonts w:cs="ArialMT"/>
          <w:color w:val="080000"/>
        </w:rPr>
        <w:t>The Center for Medicare Advocacy</w:t>
      </w:r>
      <w:r w:rsidR="00597425" w:rsidRPr="00777326">
        <w:rPr>
          <w:rFonts w:cs="ArialMT"/>
          <w:color w:val="080000"/>
        </w:rPr>
        <w:t xml:space="preserve"> further stated that it “</w:t>
      </w:r>
      <w:r w:rsidR="00F703A4" w:rsidRPr="00777326">
        <w:rPr>
          <w:rFonts w:cs="ArialMT"/>
          <w:color w:val="080000"/>
        </w:rPr>
        <w:t>firmly believes that CMS ha</w:t>
      </w:r>
      <w:r w:rsidR="00597425" w:rsidRPr="00777326">
        <w:rPr>
          <w:rFonts w:cs="ArialMT"/>
          <w:color w:val="080000"/>
        </w:rPr>
        <w:t xml:space="preserve">s the legal authority under the </w:t>
      </w:r>
      <w:r w:rsidR="00F703A4" w:rsidRPr="00777326">
        <w:rPr>
          <w:rFonts w:cs="ArialMT"/>
          <w:color w:val="080000"/>
        </w:rPr>
        <w:t xml:space="preserve">Medicare statute to cover medically necessary oral health care – that is, </w:t>
      </w:r>
      <w:r w:rsidR="00597425" w:rsidRPr="00777326">
        <w:rPr>
          <w:rFonts w:cs="ArialMT"/>
          <w:color w:val="080000"/>
        </w:rPr>
        <w:t xml:space="preserve">treatment deemed necessary by a </w:t>
      </w:r>
      <w:r w:rsidR="00F703A4" w:rsidRPr="00777326">
        <w:rPr>
          <w:rFonts w:cs="ArialMT"/>
          <w:color w:val="080000"/>
        </w:rPr>
        <w:t>physician when a patient’s medical condition is or will likely be complicated by an untreated oral health problem</w:t>
      </w:r>
      <w:r w:rsidR="00597425" w:rsidRPr="00777326">
        <w:rPr>
          <w:rFonts w:cs="ArialMT"/>
          <w:color w:val="080000"/>
        </w:rPr>
        <w:t>.”  The Center</w:t>
      </w:r>
      <w:r w:rsidR="009D4ED5" w:rsidRPr="00777326">
        <w:rPr>
          <w:rFonts w:cs="ArialMT"/>
          <w:color w:val="080000"/>
        </w:rPr>
        <w:t xml:space="preserve"> for Medicare Advocacy</w:t>
      </w:r>
      <w:r w:rsidR="00597425" w:rsidRPr="00777326">
        <w:rPr>
          <w:rFonts w:cs="ArialMT"/>
          <w:color w:val="080000"/>
        </w:rPr>
        <w:t xml:space="preserve"> makes several additional arguments to support this contention including those related to language in the Senate Report explaining the legislative intent, Medicare</w:t>
      </w:r>
      <w:r w:rsidR="0062459C" w:rsidRPr="00777326">
        <w:rPr>
          <w:rFonts w:cs="ArialMT"/>
          <w:color w:val="080000"/>
        </w:rPr>
        <w:t>’s inclu</w:t>
      </w:r>
      <w:r w:rsidR="00597425" w:rsidRPr="00777326">
        <w:rPr>
          <w:rFonts w:cs="ArialMT"/>
          <w:color w:val="080000"/>
        </w:rPr>
        <w:t>s</w:t>
      </w:r>
      <w:r w:rsidR="0062459C" w:rsidRPr="00777326">
        <w:rPr>
          <w:rFonts w:cs="ArialMT"/>
          <w:color w:val="080000"/>
        </w:rPr>
        <w:t>ion of</w:t>
      </w:r>
      <w:r w:rsidR="00597425" w:rsidRPr="00777326">
        <w:rPr>
          <w:rFonts w:cs="ArialMT"/>
          <w:color w:val="080000"/>
        </w:rPr>
        <w:t xml:space="preserve"> dentists in its definition of physicians, </w:t>
      </w:r>
      <w:r w:rsidR="009D4ED5" w:rsidRPr="00777326">
        <w:rPr>
          <w:rFonts w:cs="ArialMT"/>
          <w:color w:val="080000"/>
        </w:rPr>
        <w:t>and</w:t>
      </w:r>
      <w:r w:rsidR="0062459C" w:rsidRPr="00777326">
        <w:rPr>
          <w:rFonts w:cs="ArialMT"/>
          <w:color w:val="080000"/>
        </w:rPr>
        <w:t xml:space="preserve"> the governing statute</w:t>
      </w:r>
      <w:r w:rsidR="005C2685" w:rsidRPr="00777326">
        <w:rPr>
          <w:rFonts w:cs="ArialMT"/>
          <w:color w:val="080000"/>
        </w:rPr>
        <w:t>, which</w:t>
      </w:r>
      <w:r w:rsidR="0062459C" w:rsidRPr="00777326">
        <w:rPr>
          <w:rFonts w:cs="ArialMT"/>
          <w:color w:val="080000"/>
        </w:rPr>
        <w:t xml:space="preserve"> permits payment for dental services in relationship to physician services (Center for Medicare Advocacy, 2016). </w:t>
      </w:r>
    </w:p>
    <w:p w14:paraId="3AC64BC7" w14:textId="77777777" w:rsidR="00CD04A0" w:rsidRPr="00777326" w:rsidRDefault="00CD04A0" w:rsidP="00597425">
      <w:pPr>
        <w:autoSpaceDE w:val="0"/>
        <w:autoSpaceDN w:val="0"/>
        <w:adjustRightInd w:val="0"/>
        <w:spacing w:after="0" w:line="240" w:lineRule="auto"/>
        <w:rPr>
          <w:rFonts w:cs="ArialMT"/>
          <w:color w:val="080000"/>
        </w:rPr>
      </w:pPr>
    </w:p>
    <w:p w14:paraId="68710B69" w14:textId="52E6AD21" w:rsidR="00597425" w:rsidRPr="00777326" w:rsidRDefault="00CD04A0" w:rsidP="00597425">
      <w:pPr>
        <w:autoSpaceDE w:val="0"/>
        <w:autoSpaceDN w:val="0"/>
        <w:adjustRightInd w:val="0"/>
        <w:spacing w:after="0" w:line="240" w:lineRule="auto"/>
        <w:rPr>
          <w:rStyle w:val="HTMLCite"/>
          <w:rFonts w:cs="ArialMT"/>
          <w:i w:val="0"/>
          <w:iCs w:val="0"/>
          <w:color w:val="080000"/>
        </w:rPr>
      </w:pPr>
      <w:r w:rsidRPr="00777326">
        <w:rPr>
          <w:rFonts w:cs="ArialMT"/>
          <w:color w:val="080000"/>
        </w:rPr>
        <w:t xml:space="preserve">The </w:t>
      </w:r>
      <w:r w:rsidR="00E77224" w:rsidRPr="00777326">
        <w:rPr>
          <w:rFonts w:cs="ArialMT"/>
          <w:color w:val="080000"/>
        </w:rPr>
        <w:t xml:space="preserve">above discussion centers </w:t>
      </w:r>
      <w:r w:rsidRPr="00777326">
        <w:rPr>
          <w:rFonts w:cs="ArialMT"/>
          <w:color w:val="080000"/>
        </w:rPr>
        <w:t xml:space="preserve">on dental services under “traditional Medicare,” which operates under a fee-for-services system.  Enrollees in Medicare Advantage plans, which generally receive per capita payment, </w:t>
      </w:r>
      <w:r w:rsidR="000B11B8" w:rsidRPr="00777326">
        <w:rPr>
          <w:rFonts w:cs="ArialMT"/>
          <w:color w:val="080000"/>
        </w:rPr>
        <w:t>may have access to</w:t>
      </w:r>
      <w:r w:rsidRPr="00777326">
        <w:rPr>
          <w:rFonts w:cs="ArialMT"/>
          <w:color w:val="080000"/>
        </w:rPr>
        <w:t xml:space="preserve"> dental services, if their plans offer them. </w:t>
      </w:r>
    </w:p>
    <w:p w14:paraId="53CFA0E5" w14:textId="4BC339B6" w:rsidR="00094764" w:rsidRPr="00137751" w:rsidRDefault="00137751" w:rsidP="00137751">
      <w:pPr>
        <w:pStyle w:val="Heading1"/>
        <w:ind w:left="720"/>
        <w:rPr>
          <w:rFonts w:asciiTheme="minorHAnsi" w:hAnsiTheme="minorHAnsi"/>
          <w:sz w:val="22"/>
          <w:szCs w:val="22"/>
        </w:rPr>
      </w:pPr>
      <w:proofErr w:type="gramStart"/>
      <w:r w:rsidRPr="00137751">
        <w:rPr>
          <w:rFonts w:asciiTheme="minorHAnsi" w:hAnsiTheme="minorHAnsi"/>
          <w:color w:val="auto"/>
          <w:sz w:val="22"/>
          <w:szCs w:val="22"/>
        </w:rPr>
        <w:t>5</w:t>
      </w:r>
      <w:r w:rsidR="00614C02" w:rsidRPr="00137751">
        <w:rPr>
          <w:rFonts w:asciiTheme="minorHAnsi" w:hAnsiTheme="minorHAnsi"/>
          <w:color w:val="auto"/>
          <w:sz w:val="22"/>
          <w:szCs w:val="22"/>
        </w:rPr>
        <w:t>.b</w:t>
      </w:r>
      <w:proofErr w:type="gramEnd"/>
      <w:r w:rsidR="00614C02" w:rsidRPr="00137751">
        <w:rPr>
          <w:rFonts w:asciiTheme="minorHAnsi" w:hAnsiTheme="minorHAnsi"/>
          <w:color w:val="auto"/>
          <w:sz w:val="22"/>
          <w:szCs w:val="22"/>
        </w:rPr>
        <w:t>.</w:t>
      </w:r>
      <w:r w:rsidR="00EA2CF2">
        <w:rPr>
          <w:rFonts w:asciiTheme="minorHAnsi" w:hAnsiTheme="minorHAnsi"/>
          <w:color w:val="auto"/>
          <w:sz w:val="22"/>
          <w:szCs w:val="22"/>
        </w:rPr>
        <w:t xml:space="preserve"> </w:t>
      </w:r>
      <w:r w:rsidR="00094764" w:rsidRPr="00137751">
        <w:rPr>
          <w:rFonts w:asciiTheme="minorHAnsi" w:hAnsiTheme="minorHAnsi"/>
          <w:color w:val="auto"/>
          <w:sz w:val="22"/>
          <w:szCs w:val="22"/>
        </w:rPr>
        <w:t>Medicaid</w:t>
      </w:r>
    </w:p>
    <w:p w14:paraId="5F5C64A8" w14:textId="7BDC4154" w:rsidR="00CE4041" w:rsidRPr="00777326" w:rsidRDefault="006A41B0" w:rsidP="00CE4041">
      <w:pPr>
        <w:autoSpaceDE w:val="0"/>
        <w:autoSpaceDN w:val="0"/>
        <w:adjustRightInd w:val="0"/>
        <w:spacing w:after="0" w:line="240" w:lineRule="auto"/>
        <w:rPr>
          <w:rFonts w:cs="Arial"/>
          <w:iCs/>
        </w:rPr>
      </w:pPr>
      <w:r w:rsidRPr="00777326">
        <w:rPr>
          <w:rFonts w:cs="Arial"/>
          <w:iCs/>
        </w:rPr>
        <w:t xml:space="preserve">State </w:t>
      </w:r>
      <w:r w:rsidR="00C31DE3" w:rsidRPr="00777326">
        <w:rPr>
          <w:rFonts w:cs="Arial"/>
          <w:iCs/>
        </w:rPr>
        <w:t>Medicaid programs are required to cover dental services for children under age</w:t>
      </w:r>
      <w:r w:rsidR="00F509FA" w:rsidRPr="00777326">
        <w:rPr>
          <w:rFonts w:cs="Arial"/>
          <w:iCs/>
        </w:rPr>
        <w:t xml:space="preserve"> </w:t>
      </w:r>
      <w:r w:rsidR="00C31DE3" w:rsidRPr="00777326">
        <w:rPr>
          <w:rFonts w:cs="Arial"/>
          <w:iCs/>
        </w:rPr>
        <w:t>21</w:t>
      </w:r>
      <w:r w:rsidR="00546107" w:rsidRPr="00777326">
        <w:rPr>
          <w:rFonts w:cs="Arial"/>
          <w:iCs/>
        </w:rPr>
        <w:t>,</w:t>
      </w:r>
      <w:r w:rsidR="00C26BC3" w:rsidRPr="00777326">
        <w:rPr>
          <w:rFonts w:cs="Arial"/>
          <w:iCs/>
        </w:rPr>
        <w:t xml:space="preserve"> but they </w:t>
      </w:r>
      <w:r w:rsidR="00F509FA" w:rsidRPr="00777326">
        <w:rPr>
          <w:rFonts w:cs="Arial"/>
          <w:iCs/>
        </w:rPr>
        <w:t xml:space="preserve">generally </w:t>
      </w:r>
      <w:r w:rsidR="00C26BC3" w:rsidRPr="00777326">
        <w:rPr>
          <w:rFonts w:cs="Arial"/>
          <w:iCs/>
        </w:rPr>
        <w:t xml:space="preserve">are not required to do so for </w:t>
      </w:r>
      <w:r w:rsidR="00C31DE3" w:rsidRPr="00777326">
        <w:rPr>
          <w:rFonts w:cs="Arial"/>
          <w:iCs/>
        </w:rPr>
        <w:t xml:space="preserve">adults. </w:t>
      </w:r>
      <w:r w:rsidR="00BA2C4F" w:rsidRPr="00777326">
        <w:rPr>
          <w:rFonts w:cs="Arial"/>
          <w:iCs/>
        </w:rPr>
        <w:t>The exception is when a dentist’s “medical and surgical services … would be considered physician services</w:t>
      </w:r>
      <w:r w:rsidR="00EA2CF2">
        <w:rPr>
          <w:rFonts w:cs="Arial"/>
          <w:iCs/>
        </w:rPr>
        <w:t xml:space="preserve"> if a physician provided them” </w:t>
      </w:r>
      <w:r w:rsidR="00BA2C4F" w:rsidRPr="00777326">
        <w:rPr>
          <w:rFonts w:cs="Arial"/>
          <w:iCs/>
        </w:rPr>
        <w:t xml:space="preserve">(CMS, 1991).  At least </w:t>
      </w:r>
      <w:r w:rsidR="00BA2C4F" w:rsidRPr="00777326">
        <w:rPr>
          <w:rFonts w:cs="Arial"/>
          <w:iCs/>
        </w:rPr>
        <w:lastRenderedPageBreak/>
        <w:t>two interpretations of this regulation exist</w:t>
      </w:r>
      <w:r w:rsidR="00CE4041" w:rsidRPr="00777326">
        <w:rPr>
          <w:rFonts w:cs="Arial"/>
          <w:iCs/>
        </w:rPr>
        <w:t xml:space="preserve">.  </w:t>
      </w:r>
      <w:proofErr w:type="spellStart"/>
      <w:r w:rsidR="00CE4041" w:rsidRPr="00777326">
        <w:rPr>
          <w:rFonts w:cs="Arial"/>
          <w:iCs/>
        </w:rPr>
        <w:t>Chazin</w:t>
      </w:r>
      <w:proofErr w:type="spellEnd"/>
      <w:r w:rsidR="00CE4041" w:rsidRPr="00777326">
        <w:rPr>
          <w:rFonts w:cs="Arial"/>
          <w:iCs/>
        </w:rPr>
        <w:t xml:space="preserve"> and colleagues (2014) at the Center for Health Care Strategies state that, “Federal regulations require states that are not providing any dental benefits for adults to at least reimburse medical and surgical services related to an oral health problem if delivered by a medical or dental provider.”  </w:t>
      </w:r>
      <w:r w:rsidR="006E55E1" w:rsidRPr="00777326">
        <w:rPr>
          <w:rFonts w:cs="Arial"/>
          <w:iCs/>
        </w:rPr>
        <w:t xml:space="preserve">Its </w:t>
      </w:r>
      <w:r w:rsidR="00CE4041" w:rsidRPr="00777326">
        <w:rPr>
          <w:rFonts w:cs="Arial"/>
          <w:iCs/>
        </w:rPr>
        <w:t xml:space="preserve">citation goes back to the CMS rule published in 1991.  California’s </w:t>
      </w:r>
      <w:proofErr w:type="spellStart"/>
      <w:r w:rsidR="00CE4041" w:rsidRPr="00777326">
        <w:rPr>
          <w:rFonts w:cs="Arial"/>
          <w:iCs/>
        </w:rPr>
        <w:t>Medi</w:t>
      </w:r>
      <w:proofErr w:type="spellEnd"/>
      <w:r w:rsidR="00CE4041" w:rsidRPr="00777326">
        <w:rPr>
          <w:rFonts w:cs="Arial"/>
          <w:iCs/>
        </w:rPr>
        <w:t>-Cal program eliminated “most adult dental services</w:t>
      </w:r>
      <w:r w:rsidR="001E2AEC" w:rsidRPr="00777326">
        <w:rPr>
          <w:rFonts w:cs="Arial"/>
          <w:iCs/>
        </w:rPr>
        <w:t>” in 2009</w:t>
      </w:r>
      <w:r w:rsidR="00CE4041" w:rsidRPr="00777326">
        <w:rPr>
          <w:rFonts w:cs="Arial"/>
          <w:iCs/>
        </w:rPr>
        <w:t xml:space="preserve">, with the exception </w:t>
      </w:r>
      <w:r w:rsidR="00811168" w:rsidRPr="00777326">
        <w:rPr>
          <w:rFonts w:cs="Arial"/>
          <w:iCs/>
        </w:rPr>
        <w:t xml:space="preserve">of </w:t>
      </w:r>
      <w:r w:rsidR="007E6ADE" w:rsidRPr="00777326">
        <w:rPr>
          <w:rFonts w:cs="Arial"/>
          <w:iCs/>
        </w:rPr>
        <w:t>what the state termed</w:t>
      </w:r>
      <w:r w:rsidR="00CE4041" w:rsidRPr="00777326">
        <w:rPr>
          <w:rFonts w:cs="Arial"/>
          <w:iCs/>
        </w:rPr>
        <w:t xml:space="preserve"> “federally</w:t>
      </w:r>
      <w:r w:rsidR="001E2AEC" w:rsidRPr="00777326">
        <w:rPr>
          <w:rFonts w:cs="Arial"/>
          <w:iCs/>
        </w:rPr>
        <w:t xml:space="preserve"> required adult dental services.” The state then listed more than 150</w:t>
      </w:r>
      <w:r w:rsidR="00CB708D" w:rsidRPr="00777326">
        <w:rPr>
          <w:rFonts w:cs="Arial"/>
          <w:iCs/>
        </w:rPr>
        <w:t xml:space="preserve"> medical procedure codes,</w:t>
      </w:r>
      <w:r w:rsidR="001E2AEC" w:rsidRPr="00777326">
        <w:rPr>
          <w:rFonts w:cs="Arial"/>
          <w:iCs/>
        </w:rPr>
        <w:t xml:space="preserve"> which it describes as federally-required</w:t>
      </w:r>
      <w:r w:rsidR="00811168" w:rsidRPr="00777326">
        <w:rPr>
          <w:rFonts w:cs="Arial"/>
          <w:iCs/>
        </w:rPr>
        <w:t xml:space="preserve"> services</w:t>
      </w:r>
      <w:r w:rsidR="001E2AEC" w:rsidRPr="00777326">
        <w:rPr>
          <w:rFonts w:cs="Arial"/>
          <w:iCs/>
        </w:rPr>
        <w:t xml:space="preserve"> (</w:t>
      </w:r>
      <w:proofErr w:type="spellStart"/>
      <w:r w:rsidR="001E2AEC" w:rsidRPr="00777326">
        <w:rPr>
          <w:rFonts w:cs="Arial"/>
          <w:iCs/>
        </w:rPr>
        <w:t>Denti</w:t>
      </w:r>
      <w:proofErr w:type="spellEnd"/>
      <w:r w:rsidR="001E2AEC" w:rsidRPr="00777326">
        <w:rPr>
          <w:rFonts w:cs="Arial"/>
          <w:iCs/>
        </w:rPr>
        <w:t xml:space="preserve">-Cal Bulletin, 2009). </w:t>
      </w:r>
    </w:p>
    <w:p w14:paraId="768E5758" w14:textId="77777777" w:rsidR="00546E83" w:rsidRPr="00777326" w:rsidRDefault="00546E83" w:rsidP="00CE4041">
      <w:pPr>
        <w:autoSpaceDE w:val="0"/>
        <w:autoSpaceDN w:val="0"/>
        <w:adjustRightInd w:val="0"/>
        <w:spacing w:after="0" w:line="240" w:lineRule="auto"/>
        <w:rPr>
          <w:rFonts w:cs="Arial"/>
          <w:iCs/>
        </w:rPr>
      </w:pPr>
    </w:p>
    <w:p w14:paraId="4DB9D4C3" w14:textId="0A205A28" w:rsidR="00C31DE3" w:rsidRPr="00777326" w:rsidRDefault="00546E83" w:rsidP="00196E86">
      <w:pPr>
        <w:spacing w:line="240" w:lineRule="auto"/>
        <w:rPr>
          <w:rFonts w:cs="Arial"/>
          <w:iCs/>
        </w:rPr>
      </w:pPr>
      <w:r w:rsidRPr="00777326">
        <w:rPr>
          <w:rFonts w:cs="Arial"/>
          <w:iCs/>
        </w:rPr>
        <w:t xml:space="preserve">Regardless of the regulatory interpretation, </w:t>
      </w:r>
      <w:r w:rsidR="00E77224" w:rsidRPr="00777326">
        <w:rPr>
          <w:rFonts w:cs="Arial"/>
          <w:iCs/>
        </w:rPr>
        <w:t xml:space="preserve">Medicaid </w:t>
      </w:r>
      <w:r w:rsidR="00C31DE3" w:rsidRPr="00777326">
        <w:rPr>
          <w:rFonts w:cs="Arial"/>
          <w:iCs/>
        </w:rPr>
        <w:t>adult dental benefits</w:t>
      </w:r>
      <w:r w:rsidR="00824A8F" w:rsidRPr="00777326">
        <w:rPr>
          <w:rFonts w:cs="Arial"/>
          <w:iCs/>
        </w:rPr>
        <w:t xml:space="preserve"> under the</w:t>
      </w:r>
      <w:r w:rsidR="00E77224" w:rsidRPr="00777326">
        <w:rPr>
          <w:rFonts w:cs="Arial"/>
          <w:iCs/>
        </w:rPr>
        <w:t xml:space="preserve"> State</w:t>
      </w:r>
      <w:r w:rsidR="006E0AB2" w:rsidRPr="00777326">
        <w:rPr>
          <w:rFonts w:cs="Arial"/>
          <w:iCs/>
        </w:rPr>
        <w:t xml:space="preserve"> optional service</w:t>
      </w:r>
      <w:r w:rsidR="00C31DE3" w:rsidRPr="00777326">
        <w:rPr>
          <w:rFonts w:cs="Arial"/>
          <w:iCs/>
        </w:rPr>
        <w:t xml:space="preserve"> vary widely across states</w:t>
      </w:r>
      <w:r w:rsidR="006E0AB2" w:rsidRPr="00777326">
        <w:rPr>
          <w:rFonts w:cs="Arial"/>
          <w:iCs/>
        </w:rPr>
        <w:t xml:space="preserve"> and many</w:t>
      </w:r>
      <w:r w:rsidR="00824A8F" w:rsidRPr="00777326">
        <w:rPr>
          <w:rFonts w:cs="Arial"/>
          <w:iCs/>
        </w:rPr>
        <w:t xml:space="preserve"> states</w:t>
      </w:r>
      <w:r w:rsidR="00E77224" w:rsidRPr="00777326">
        <w:rPr>
          <w:rFonts w:cs="Arial"/>
          <w:iCs/>
        </w:rPr>
        <w:t xml:space="preserve"> limit coverage </w:t>
      </w:r>
      <w:r w:rsidR="006E0AB2" w:rsidRPr="00777326">
        <w:rPr>
          <w:rFonts w:cs="Arial"/>
          <w:iCs/>
        </w:rPr>
        <w:t>primarily to emergency services</w:t>
      </w:r>
      <w:r w:rsidRPr="00777326">
        <w:rPr>
          <w:rFonts w:cs="Arial"/>
          <w:iCs/>
        </w:rPr>
        <w:t>.</w:t>
      </w:r>
      <w:r w:rsidR="00C31DE3" w:rsidRPr="00777326">
        <w:rPr>
          <w:rFonts w:cs="Arial"/>
          <w:iCs/>
        </w:rPr>
        <w:t xml:space="preserve"> For example, as of February 2015:</w:t>
      </w:r>
    </w:p>
    <w:p w14:paraId="6D24182D" w14:textId="77777777" w:rsidR="00C31DE3" w:rsidRPr="00777326" w:rsidRDefault="00C31DE3" w:rsidP="00313781">
      <w:pPr>
        <w:pStyle w:val="ListParagraph"/>
        <w:numPr>
          <w:ilvl w:val="0"/>
          <w:numId w:val="6"/>
        </w:numPr>
        <w:spacing w:line="240" w:lineRule="auto"/>
        <w:rPr>
          <w:rFonts w:cs="Arial"/>
          <w:iCs/>
        </w:rPr>
      </w:pPr>
      <w:r w:rsidRPr="00777326">
        <w:rPr>
          <w:rFonts w:cs="Arial"/>
          <w:iCs/>
        </w:rPr>
        <w:t>19 states provided emergency-only adult dental benefits for non-pregnant, non-disabled adults;</w:t>
      </w:r>
    </w:p>
    <w:p w14:paraId="1CC0604C" w14:textId="77777777" w:rsidR="00C31DE3" w:rsidRPr="00777326" w:rsidRDefault="00C31DE3" w:rsidP="00313781">
      <w:pPr>
        <w:pStyle w:val="ListParagraph"/>
        <w:numPr>
          <w:ilvl w:val="0"/>
          <w:numId w:val="6"/>
        </w:numPr>
        <w:spacing w:line="240" w:lineRule="auto"/>
        <w:rPr>
          <w:rFonts w:cs="Arial"/>
          <w:iCs/>
        </w:rPr>
      </w:pPr>
      <w:r w:rsidRPr="00777326">
        <w:rPr>
          <w:rFonts w:cs="Arial"/>
          <w:iCs/>
        </w:rPr>
        <w:t>27 states covered preventive services;</w:t>
      </w:r>
    </w:p>
    <w:p w14:paraId="1B3B1775" w14:textId="77777777" w:rsidR="00C31DE3" w:rsidRPr="00777326" w:rsidRDefault="00C31DE3" w:rsidP="00313781">
      <w:pPr>
        <w:pStyle w:val="ListParagraph"/>
        <w:numPr>
          <w:ilvl w:val="0"/>
          <w:numId w:val="6"/>
        </w:numPr>
        <w:spacing w:line="240" w:lineRule="auto"/>
        <w:rPr>
          <w:rFonts w:cs="Arial"/>
          <w:iCs/>
        </w:rPr>
      </w:pPr>
      <w:r w:rsidRPr="00777326">
        <w:rPr>
          <w:rFonts w:cs="Arial"/>
          <w:iCs/>
        </w:rPr>
        <w:t>26 states covered restorative services;</w:t>
      </w:r>
    </w:p>
    <w:p w14:paraId="44FFA0CC" w14:textId="77777777" w:rsidR="00C31DE3" w:rsidRPr="00777326" w:rsidRDefault="00C31DE3" w:rsidP="00313781">
      <w:pPr>
        <w:pStyle w:val="ListParagraph"/>
        <w:numPr>
          <w:ilvl w:val="0"/>
          <w:numId w:val="6"/>
        </w:numPr>
        <w:spacing w:line="240" w:lineRule="auto"/>
        <w:rPr>
          <w:rFonts w:cs="Arial"/>
          <w:iCs/>
        </w:rPr>
      </w:pPr>
      <w:r w:rsidRPr="00777326">
        <w:rPr>
          <w:rFonts w:cs="Arial"/>
          <w:iCs/>
        </w:rPr>
        <w:t>19 states covered periodontal services;</w:t>
      </w:r>
    </w:p>
    <w:p w14:paraId="1DC87BEB" w14:textId="77777777" w:rsidR="00C31DE3" w:rsidRPr="00777326" w:rsidRDefault="00C31DE3" w:rsidP="00313781">
      <w:pPr>
        <w:pStyle w:val="ListParagraph"/>
        <w:numPr>
          <w:ilvl w:val="0"/>
          <w:numId w:val="6"/>
        </w:numPr>
        <w:spacing w:line="240" w:lineRule="auto"/>
        <w:rPr>
          <w:rFonts w:cs="Arial"/>
          <w:iCs/>
        </w:rPr>
      </w:pPr>
      <w:r w:rsidRPr="00777326">
        <w:rPr>
          <w:rFonts w:cs="Arial"/>
          <w:iCs/>
        </w:rPr>
        <w:t>25 states covered dentures;</w:t>
      </w:r>
    </w:p>
    <w:p w14:paraId="2F4696A0" w14:textId="77777777" w:rsidR="00C31DE3" w:rsidRPr="00777326" w:rsidRDefault="00C31DE3" w:rsidP="00313781">
      <w:pPr>
        <w:pStyle w:val="ListParagraph"/>
        <w:numPr>
          <w:ilvl w:val="0"/>
          <w:numId w:val="6"/>
        </w:numPr>
        <w:spacing w:line="240" w:lineRule="auto"/>
        <w:rPr>
          <w:rFonts w:cs="Arial"/>
          <w:iCs/>
        </w:rPr>
      </w:pPr>
      <w:r w:rsidRPr="00777326">
        <w:rPr>
          <w:rFonts w:cs="Arial"/>
          <w:iCs/>
        </w:rPr>
        <w:t>25 states covered oral surgery;</w:t>
      </w:r>
    </w:p>
    <w:p w14:paraId="420D5111" w14:textId="77777777" w:rsidR="00C31DE3" w:rsidRPr="00777326" w:rsidRDefault="00C31DE3" w:rsidP="00313781">
      <w:pPr>
        <w:pStyle w:val="ListParagraph"/>
        <w:numPr>
          <w:ilvl w:val="0"/>
          <w:numId w:val="6"/>
        </w:numPr>
        <w:spacing w:line="240" w:lineRule="auto"/>
        <w:rPr>
          <w:rFonts w:cs="Arial"/>
          <w:iCs/>
        </w:rPr>
      </w:pPr>
      <w:r w:rsidRPr="00777326">
        <w:rPr>
          <w:rFonts w:cs="Arial"/>
          <w:iCs/>
        </w:rPr>
        <w:t>2 states covered orthodontia; and</w:t>
      </w:r>
    </w:p>
    <w:p w14:paraId="13EBC3F5" w14:textId="77777777" w:rsidR="00C31DE3" w:rsidRPr="00777326" w:rsidRDefault="00C31DE3" w:rsidP="00313781">
      <w:pPr>
        <w:pStyle w:val="ListParagraph"/>
        <w:numPr>
          <w:ilvl w:val="0"/>
          <w:numId w:val="6"/>
        </w:numPr>
        <w:spacing w:line="240" w:lineRule="auto"/>
        <w:rPr>
          <w:rFonts w:cs="Arial"/>
          <w:iCs/>
        </w:rPr>
      </w:pPr>
      <w:r w:rsidRPr="00777326">
        <w:rPr>
          <w:rFonts w:cs="Arial"/>
          <w:iCs/>
        </w:rPr>
        <w:t>9 states placed an annual dollar l</w:t>
      </w:r>
      <w:r w:rsidR="00546E83" w:rsidRPr="00777326">
        <w:rPr>
          <w:rFonts w:cs="Arial"/>
          <w:iCs/>
        </w:rPr>
        <w:t>imit on covered dental services</w:t>
      </w:r>
      <w:r w:rsidRPr="00777326">
        <w:rPr>
          <w:rFonts w:cs="Arial"/>
          <w:iCs/>
        </w:rPr>
        <w:t xml:space="preserve"> (MACPAC, 2015)</w:t>
      </w:r>
      <w:r w:rsidR="00546E83" w:rsidRPr="00777326">
        <w:rPr>
          <w:rFonts w:cs="Arial"/>
          <w:iCs/>
        </w:rPr>
        <w:t>.</w:t>
      </w:r>
    </w:p>
    <w:p w14:paraId="047867EE" w14:textId="0BB43AB2" w:rsidR="00824A8F" w:rsidRPr="00777326" w:rsidRDefault="00E77224" w:rsidP="00196E86">
      <w:pPr>
        <w:spacing w:line="240" w:lineRule="auto"/>
        <w:rPr>
          <w:rFonts w:cs="Arial"/>
          <w:bCs/>
          <w:iCs/>
        </w:rPr>
      </w:pPr>
      <w:r w:rsidRPr="00777326">
        <w:rPr>
          <w:rFonts w:cs="Arial"/>
          <w:bCs/>
          <w:iCs/>
        </w:rPr>
        <w:t>N</w:t>
      </w:r>
      <w:r w:rsidR="00824A8F" w:rsidRPr="00777326">
        <w:rPr>
          <w:rFonts w:cs="Arial"/>
          <w:bCs/>
          <w:iCs/>
        </w:rPr>
        <w:t>ote that the optional dental benefit is not the only choice states have.  They can provide dental benefits</w:t>
      </w:r>
      <w:r w:rsidRPr="00777326">
        <w:rPr>
          <w:rFonts w:cs="Arial"/>
          <w:bCs/>
          <w:iCs/>
        </w:rPr>
        <w:t xml:space="preserve"> to limited populations</w:t>
      </w:r>
      <w:r w:rsidR="00824A8F" w:rsidRPr="00777326">
        <w:rPr>
          <w:rFonts w:cs="Arial"/>
          <w:bCs/>
          <w:iCs/>
        </w:rPr>
        <w:t xml:space="preserve"> through various</w:t>
      </w:r>
      <w:r w:rsidRPr="00777326">
        <w:rPr>
          <w:rFonts w:cs="Arial"/>
          <w:bCs/>
          <w:iCs/>
        </w:rPr>
        <w:t xml:space="preserve"> Medicaid waivers, including</w:t>
      </w:r>
      <w:r w:rsidR="00824A8F" w:rsidRPr="00777326">
        <w:rPr>
          <w:rFonts w:cs="Arial"/>
          <w:bCs/>
          <w:iCs/>
        </w:rPr>
        <w:t xml:space="preserve"> home and community-based services </w:t>
      </w:r>
      <w:r w:rsidR="00A9742D" w:rsidRPr="00777326">
        <w:rPr>
          <w:rFonts w:cs="Arial"/>
          <w:bCs/>
          <w:iCs/>
        </w:rPr>
        <w:t xml:space="preserve">(HCBS) </w:t>
      </w:r>
      <w:r w:rsidR="00824A8F" w:rsidRPr="00777326">
        <w:rPr>
          <w:rFonts w:cs="Arial"/>
          <w:bCs/>
          <w:iCs/>
        </w:rPr>
        <w:t>waivers.</w:t>
      </w:r>
      <w:r w:rsidR="00A9742D" w:rsidRPr="00777326">
        <w:rPr>
          <w:rFonts w:cs="Arial"/>
          <w:bCs/>
          <w:iCs/>
        </w:rPr>
        <w:t xml:space="preserve"> In 2015, 13 states and DC included some oral health benefits in at least one of their HCBS waivers; primarily to people with intellectual or developmental disabilities (NASUAD, 2016).</w:t>
      </w:r>
    </w:p>
    <w:p w14:paraId="56C94C1E" w14:textId="6654BD3E" w:rsidR="0020117E" w:rsidRPr="00777326" w:rsidRDefault="0020117E" w:rsidP="00196E86">
      <w:pPr>
        <w:spacing w:line="240" w:lineRule="auto"/>
        <w:rPr>
          <w:rFonts w:cs="Arial"/>
          <w:bCs/>
          <w:iCs/>
        </w:rPr>
      </w:pPr>
      <w:r w:rsidRPr="00777326">
        <w:rPr>
          <w:rFonts w:cs="Arial"/>
          <w:bCs/>
          <w:iCs/>
        </w:rPr>
        <w:t>Barriers to oral health care access, even in states with Medicaid dental benefits, include: beneficiaries not knowing they have such benefits, shortages of providers willing to serve Medicaid beneficiaries,</w:t>
      </w:r>
      <w:r w:rsidR="007A3632" w:rsidRPr="00777326">
        <w:rPr>
          <w:rFonts w:cs="Arial"/>
          <w:bCs/>
          <w:iCs/>
        </w:rPr>
        <w:t xml:space="preserve"> relatively low reimbursement rates,</w:t>
      </w:r>
      <w:r w:rsidRPr="00777326">
        <w:rPr>
          <w:rFonts w:cs="Arial"/>
          <w:bCs/>
          <w:iCs/>
        </w:rPr>
        <w:t xml:space="preserve"> </w:t>
      </w:r>
      <w:r w:rsidR="00546107" w:rsidRPr="00777326">
        <w:rPr>
          <w:rFonts w:cs="Arial"/>
          <w:bCs/>
          <w:iCs/>
        </w:rPr>
        <w:t xml:space="preserve">and </w:t>
      </w:r>
      <w:r w:rsidRPr="00777326">
        <w:rPr>
          <w:rFonts w:cs="Arial"/>
          <w:bCs/>
          <w:iCs/>
        </w:rPr>
        <w:t>few incentives to integrate oral hea</w:t>
      </w:r>
      <w:r w:rsidR="00A9742D" w:rsidRPr="00777326">
        <w:rPr>
          <w:rFonts w:cs="Arial"/>
          <w:bCs/>
          <w:iCs/>
        </w:rPr>
        <w:t>lth into mainstream health care</w:t>
      </w:r>
      <w:r w:rsidRPr="00777326">
        <w:rPr>
          <w:rFonts w:cs="Arial"/>
          <w:bCs/>
          <w:iCs/>
        </w:rPr>
        <w:t xml:space="preserve"> (</w:t>
      </w:r>
      <w:proofErr w:type="spellStart"/>
      <w:r w:rsidRPr="00777326">
        <w:rPr>
          <w:rFonts w:cs="Arial"/>
          <w:bCs/>
          <w:iCs/>
        </w:rPr>
        <w:t>Chazin</w:t>
      </w:r>
      <w:proofErr w:type="spellEnd"/>
      <w:r w:rsidRPr="00777326">
        <w:rPr>
          <w:rFonts w:cs="Arial"/>
          <w:bCs/>
          <w:iCs/>
        </w:rPr>
        <w:t xml:space="preserve"> and Crawford, 2016)</w:t>
      </w:r>
      <w:r w:rsidR="00A9742D" w:rsidRPr="00777326">
        <w:rPr>
          <w:rFonts w:cs="Arial"/>
          <w:bCs/>
          <w:iCs/>
        </w:rPr>
        <w:t>.</w:t>
      </w:r>
      <w:r w:rsidR="00AC53F5" w:rsidRPr="00777326">
        <w:rPr>
          <w:rFonts w:cs="Arial"/>
          <w:bCs/>
          <w:iCs/>
        </w:rPr>
        <w:t xml:space="preserve"> </w:t>
      </w:r>
    </w:p>
    <w:p w14:paraId="037A0AFF" w14:textId="4E4704C9" w:rsidR="00AC53F5" w:rsidRPr="00777326" w:rsidRDefault="00CB708D" w:rsidP="00196E86">
      <w:pPr>
        <w:spacing w:line="240" w:lineRule="auto"/>
        <w:rPr>
          <w:rFonts w:cs="Arial"/>
          <w:bCs/>
          <w:iCs/>
        </w:rPr>
      </w:pPr>
      <w:r w:rsidRPr="00777326">
        <w:rPr>
          <w:rFonts w:cs="Arial"/>
          <w:bCs/>
          <w:iCs/>
        </w:rPr>
        <w:t xml:space="preserve">Attention to </w:t>
      </w:r>
      <w:proofErr w:type="gramStart"/>
      <w:r w:rsidRPr="00777326">
        <w:rPr>
          <w:rFonts w:cs="Arial"/>
          <w:bCs/>
          <w:iCs/>
        </w:rPr>
        <w:t>l</w:t>
      </w:r>
      <w:r w:rsidR="00AC53F5" w:rsidRPr="00777326">
        <w:rPr>
          <w:rFonts w:cs="Arial"/>
          <w:bCs/>
          <w:iCs/>
        </w:rPr>
        <w:t>imited</w:t>
      </w:r>
      <w:proofErr w:type="gramEnd"/>
      <w:r w:rsidR="00AC53F5" w:rsidRPr="00777326">
        <w:rPr>
          <w:rFonts w:cs="Arial"/>
          <w:bCs/>
          <w:iCs/>
        </w:rPr>
        <w:t xml:space="preserve"> </w:t>
      </w:r>
      <w:r w:rsidRPr="00777326">
        <w:rPr>
          <w:rFonts w:cs="Arial"/>
          <w:bCs/>
          <w:iCs/>
        </w:rPr>
        <w:t>Medicare</w:t>
      </w:r>
      <w:r w:rsidR="00811168" w:rsidRPr="00777326">
        <w:rPr>
          <w:rFonts w:cs="Arial"/>
          <w:bCs/>
          <w:iCs/>
        </w:rPr>
        <w:t xml:space="preserve"> dental services</w:t>
      </w:r>
      <w:r w:rsidRPr="00777326">
        <w:rPr>
          <w:rFonts w:cs="Arial"/>
          <w:bCs/>
          <w:iCs/>
        </w:rPr>
        <w:t>, uneven</w:t>
      </w:r>
      <w:r w:rsidR="00283445" w:rsidRPr="00777326">
        <w:rPr>
          <w:rFonts w:cs="Arial"/>
          <w:bCs/>
          <w:iCs/>
        </w:rPr>
        <w:t xml:space="preserve"> </w:t>
      </w:r>
      <w:r w:rsidRPr="00777326">
        <w:rPr>
          <w:rFonts w:cs="Arial"/>
          <w:bCs/>
          <w:iCs/>
        </w:rPr>
        <w:t xml:space="preserve">Medicaid </w:t>
      </w:r>
      <w:r w:rsidR="00811168" w:rsidRPr="00777326">
        <w:rPr>
          <w:rFonts w:cs="Arial"/>
          <w:bCs/>
          <w:iCs/>
        </w:rPr>
        <w:t>dental</w:t>
      </w:r>
      <w:r w:rsidRPr="00777326">
        <w:rPr>
          <w:rFonts w:cs="Arial"/>
          <w:bCs/>
          <w:iCs/>
        </w:rPr>
        <w:t xml:space="preserve"> coverage,</w:t>
      </w:r>
      <w:r w:rsidR="00AC53F5" w:rsidRPr="00777326">
        <w:rPr>
          <w:rFonts w:cs="Arial"/>
          <w:bCs/>
          <w:iCs/>
        </w:rPr>
        <w:t xml:space="preserve"> and </w:t>
      </w:r>
      <w:r w:rsidR="00283445" w:rsidRPr="00777326">
        <w:rPr>
          <w:rFonts w:cs="Arial"/>
          <w:bCs/>
          <w:iCs/>
        </w:rPr>
        <w:t xml:space="preserve">multiple </w:t>
      </w:r>
      <w:r w:rsidR="00AC53F5" w:rsidRPr="00777326">
        <w:rPr>
          <w:rFonts w:cs="Arial"/>
          <w:bCs/>
          <w:iCs/>
        </w:rPr>
        <w:t>service barriers</w:t>
      </w:r>
      <w:r w:rsidRPr="00777326">
        <w:rPr>
          <w:rFonts w:cs="Arial"/>
          <w:bCs/>
          <w:iCs/>
        </w:rPr>
        <w:t xml:space="preserve"> could help </w:t>
      </w:r>
      <w:r w:rsidR="00AC53F5" w:rsidRPr="00777326">
        <w:rPr>
          <w:rFonts w:cs="Arial"/>
          <w:bCs/>
          <w:iCs/>
        </w:rPr>
        <w:t>older adults and adults with disabilities avoid oral infections and the consequences</w:t>
      </w:r>
      <w:r w:rsidR="00E04D1D" w:rsidRPr="00777326">
        <w:rPr>
          <w:rFonts w:cs="Arial"/>
          <w:bCs/>
          <w:iCs/>
        </w:rPr>
        <w:t xml:space="preserve"> to their general health</w:t>
      </w:r>
      <w:r w:rsidR="00AC53F5" w:rsidRPr="00777326">
        <w:rPr>
          <w:rFonts w:cs="Arial"/>
          <w:bCs/>
          <w:iCs/>
        </w:rPr>
        <w:t xml:space="preserve">. </w:t>
      </w:r>
    </w:p>
    <w:p w14:paraId="7C0481EB" w14:textId="437835A2" w:rsidR="00241D7C" w:rsidRPr="005761E5" w:rsidRDefault="005761E5" w:rsidP="005761E5">
      <w:pPr>
        <w:pStyle w:val="Heading1"/>
        <w:ind w:left="720"/>
        <w:rPr>
          <w:rFonts w:asciiTheme="minorHAnsi" w:hAnsiTheme="minorHAnsi"/>
          <w:color w:val="auto"/>
          <w:sz w:val="22"/>
          <w:szCs w:val="22"/>
        </w:rPr>
      </w:pPr>
      <w:proofErr w:type="gramStart"/>
      <w:r w:rsidRPr="005761E5">
        <w:rPr>
          <w:rFonts w:asciiTheme="minorHAnsi" w:hAnsiTheme="minorHAnsi"/>
          <w:color w:val="auto"/>
          <w:sz w:val="22"/>
          <w:szCs w:val="22"/>
        </w:rPr>
        <w:t>5</w:t>
      </w:r>
      <w:r w:rsidR="00241D7C" w:rsidRPr="005761E5">
        <w:rPr>
          <w:rFonts w:asciiTheme="minorHAnsi" w:hAnsiTheme="minorHAnsi"/>
          <w:color w:val="auto"/>
          <w:sz w:val="22"/>
          <w:szCs w:val="22"/>
        </w:rPr>
        <w:t>.c</w:t>
      </w:r>
      <w:proofErr w:type="gramEnd"/>
      <w:r w:rsidR="00241D7C" w:rsidRPr="005761E5">
        <w:rPr>
          <w:rFonts w:asciiTheme="minorHAnsi" w:hAnsiTheme="minorHAnsi"/>
          <w:color w:val="auto"/>
          <w:sz w:val="22"/>
          <w:szCs w:val="22"/>
        </w:rPr>
        <w:t xml:space="preserve">. </w:t>
      </w:r>
      <w:r w:rsidR="00962C8F" w:rsidRPr="005761E5">
        <w:rPr>
          <w:rFonts w:asciiTheme="minorHAnsi" w:hAnsiTheme="minorHAnsi"/>
          <w:color w:val="auto"/>
          <w:sz w:val="22"/>
          <w:szCs w:val="22"/>
        </w:rPr>
        <w:t>Community</w:t>
      </w:r>
      <w:r w:rsidR="00241D7C" w:rsidRPr="005761E5">
        <w:rPr>
          <w:rFonts w:asciiTheme="minorHAnsi" w:hAnsiTheme="minorHAnsi"/>
          <w:color w:val="auto"/>
          <w:sz w:val="22"/>
          <w:szCs w:val="22"/>
        </w:rPr>
        <w:t xml:space="preserve"> Health Centers</w:t>
      </w:r>
    </w:p>
    <w:p w14:paraId="53F917CB" w14:textId="5401EF41" w:rsidR="00100261" w:rsidRPr="00777326" w:rsidRDefault="00546E83" w:rsidP="005761E5">
      <w:pPr>
        <w:pStyle w:val="NormalWeb"/>
        <w:shd w:val="clear" w:color="auto" w:fill="FFFFFF"/>
        <w:spacing w:before="0" w:beforeAutospacing="0" w:line="240" w:lineRule="auto"/>
        <w:rPr>
          <w:rFonts w:asciiTheme="minorHAnsi" w:hAnsiTheme="minorHAnsi" w:cs="Arial"/>
          <w:color w:val="000000"/>
          <w:sz w:val="22"/>
          <w:szCs w:val="22"/>
        </w:rPr>
      </w:pPr>
      <w:r w:rsidRPr="00777326">
        <w:rPr>
          <w:rFonts w:asciiTheme="minorHAnsi" w:hAnsiTheme="minorHAnsi" w:cs="Arial"/>
          <w:color w:val="000000"/>
          <w:sz w:val="22"/>
          <w:szCs w:val="22"/>
        </w:rPr>
        <w:t>HRSA</w:t>
      </w:r>
      <w:r w:rsidR="00962C8F" w:rsidRPr="00777326">
        <w:rPr>
          <w:rFonts w:asciiTheme="minorHAnsi" w:hAnsiTheme="minorHAnsi" w:cs="Arial"/>
          <w:color w:val="000000"/>
          <w:sz w:val="22"/>
          <w:szCs w:val="22"/>
        </w:rPr>
        <w:t xml:space="preserve"> </w:t>
      </w:r>
      <w:r w:rsidR="00C03016" w:rsidRPr="00777326">
        <w:rPr>
          <w:rFonts w:asciiTheme="minorHAnsi" w:hAnsiTheme="minorHAnsi" w:cs="Arial"/>
          <w:color w:val="000000"/>
          <w:sz w:val="22"/>
          <w:szCs w:val="22"/>
        </w:rPr>
        <w:t xml:space="preserve">manages the Community Health Center program, which </w:t>
      </w:r>
      <w:r w:rsidR="00962C8F" w:rsidRPr="00777326">
        <w:rPr>
          <w:rFonts w:asciiTheme="minorHAnsi" w:hAnsiTheme="minorHAnsi" w:cs="Arial"/>
          <w:color w:val="000000"/>
          <w:sz w:val="22"/>
          <w:szCs w:val="22"/>
        </w:rPr>
        <w:t>provides important</w:t>
      </w:r>
      <w:r w:rsidR="003A14C6" w:rsidRPr="00777326">
        <w:rPr>
          <w:rFonts w:asciiTheme="minorHAnsi" w:hAnsiTheme="minorHAnsi" w:cs="Arial"/>
          <w:color w:val="000000"/>
          <w:sz w:val="22"/>
          <w:szCs w:val="22"/>
        </w:rPr>
        <w:t xml:space="preserve"> dental services to populations with little </w:t>
      </w:r>
      <w:r w:rsidR="00962C8F" w:rsidRPr="00777326">
        <w:rPr>
          <w:rFonts w:asciiTheme="minorHAnsi" w:hAnsiTheme="minorHAnsi" w:cs="Arial"/>
          <w:color w:val="000000"/>
          <w:sz w:val="22"/>
          <w:szCs w:val="22"/>
        </w:rPr>
        <w:t xml:space="preserve">access to </w:t>
      </w:r>
      <w:r w:rsidR="003A14C6" w:rsidRPr="00777326">
        <w:rPr>
          <w:rFonts w:asciiTheme="minorHAnsi" w:hAnsiTheme="minorHAnsi" w:cs="Arial"/>
          <w:color w:val="000000"/>
          <w:sz w:val="22"/>
          <w:szCs w:val="22"/>
        </w:rPr>
        <w:t xml:space="preserve">care </w:t>
      </w:r>
      <w:r w:rsidR="00C03016" w:rsidRPr="00777326">
        <w:rPr>
          <w:rFonts w:asciiTheme="minorHAnsi" w:hAnsiTheme="minorHAnsi" w:cs="Arial"/>
          <w:color w:val="000000"/>
          <w:sz w:val="22"/>
          <w:szCs w:val="22"/>
        </w:rPr>
        <w:t xml:space="preserve">using Public Health Services Act funding. </w:t>
      </w:r>
      <w:proofErr w:type="gramStart"/>
      <w:r w:rsidR="00C03016" w:rsidRPr="00777326">
        <w:rPr>
          <w:rFonts w:asciiTheme="minorHAnsi" w:hAnsiTheme="minorHAnsi" w:cs="Arial"/>
          <w:color w:val="000000"/>
          <w:sz w:val="22"/>
          <w:szCs w:val="22"/>
        </w:rPr>
        <w:t xml:space="preserve">These </w:t>
      </w:r>
      <w:r w:rsidR="00FB5A2E" w:rsidRPr="00777326">
        <w:rPr>
          <w:rFonts w:asciiTheme="minorHAnsi" w:hAnsiTheme="minorHAnsi" w:cs="Arial"/>
          <w:color w:val="000000"/>
          <w:sz w:val="22"/>
          <w:szCs w:val="22"/>
        </w:rPr>
        <w:t xml:space="preserve"> Health</w:t>
      </w:r>
      <w:proofErr w:type="gramEnd"/>
      <w:r w:rsidR="00FB5A2E" w:rsidRPr="00777326">
        <w:rPr>
          <w:rFonts w:asciiTheme="minorHAnsi" w:hAnsiTheme="minorHAnsi" w:cs="Arial"/>
          <w:color w:val="000000"/>
          <w:sz w:val="22"/>
          <w:szCs w:val="22"/>
        </w:rPr>
        <w:t xml:space="preserve"> C</w:t>
      </w:r>
      <w:r w:rsidR="003A14C6" w:rsidRPr="00777326">
        <w:rPr>
          <w:rFonts w:asciiTheme="minorHAnsi" w:hAnsiTheme="minorHAnsi" w:cs="Arial"/>
          <w:color w:val="000000"/>
          <w:sz w:val="22"/>
          <w:szCs w:val="22"/>
        </w:rPr>
        <w:t>enters</w:t>
      </w:r>
      <w:r w:rsidR="00C03016" w:rsidRPr="00777326">
        <w:rPr>
          <w:rFonts w:asciiTheme="minorHAnsi" w:hAnsiTheme="minorHAnsi" w:cs="Arial"/>
          <w:color w:val="000000"/>
          <w:sz w:val="22"/>
          <w:szCs w:val="22"/>
        </w:rPr>
        <w:t xml:space="preserve"> </w:t>
      </w:r>
      <w:r w:rsidR="003A14C6" w:rsidRPr="00777326">
        <w:rPr>
          <w:rFonts w:asciiTheme="minorHAnsi" w:hAnsiTheme="minorHAnsi" w:cs="Arial"/>
          <w:color w:val="000000"/>
          <w:sz w:val="22"/>
          <w:szCs w:val="22"/>
        </w:rPr>
        <w:t xml:space="preserve">are </w:t>
      </w:r>
      <w:r w:rsidR="00100261" w:rsidRPr="00777326">
        <w:rPr>
          <w:rFonts w:asciiTheme="minorHAnsi" w:hAnsiTheme="minorHAnsi" w:cs="Arial"/>
          <w:color w:val="000000"/>
          <w:sz w:val="22"/>
          <w:szCs w:val="22"/>
        </w:rPr>
        <w:t xml:space="preserve">community-based </w:t>
      </w:r>
      <w:r w:rsidR="00FB5A2E" w:rsidRPr="00777326">
        <w:rPr>
          <w:rFonts w:asciiTheme="minorHAnsi" w:hAnsiTheme="minorHAnsi" w:cs="Arial"/>
          <w:color w:val="000000"/>
          <w:sz w:val="22"/>
          <w:szCs w:val="22"/>
        </w:rPr>
        <w:t>providers that offer</w:t>
      </w:r>
      <w:r w:rsidR="00100261" w:rsidRPr="00777326">
        <w:rPr>
          <w:rFonts w:asciiTheme="minorHAnsi" w:hAnsiTheme="minorHAnsi" w:cs="Arial"/>
          <w:color w:val="000000"/>
          <w:sz w:val="22"/>
          <w:szCs w:val="22"/>
        </w:rPr>
        <w:t xml:space="preserve"> primary care ser</w:t>
      </w:r>
      <w:r w:rsidR="00962C8F" w:rsidRPr="00777326">
        <w:rPr>
          <w:rFonts w:asciiTheme="minorHAnsi" w:hAnsiTheme="minorHAnsi" w:cs="Arial"/>
          <w:color w:val="000000"/>
          <w:sz w:val="22"/>
          <w:szCs w:val="22"/>
        </w:rPr>
        <w:t xml:space="preserve">vices in underserved areas. </w:t>
      </w:r>
      <w:r w:rsidR="00FB5A2E" w:rsidRPr="00777326">
        <w:rPr>
          <w:rFonts w:asciiTheme="minorHAnsi" w:hAnsiTheme="minorHAnsi" w:cs="Arial"/>
          <w:color w:val="000000"/>
          <w:sz w:val="22"/>
          <w:szCs w:val="22"/>
        </w:rPr>
        <w:t xml:space="preserve">Health </w:t>
      </w:r>
      <w:r w:rsidR="00962C8F" w:rsidRPr="00777326">
        <w:rPr>
          <w:rFonts w:asciiTheme="minorHAnsi" w:hAnsiTheme="minorHAnsi" w:cs="Arial"/>
          <w:color w:val="000000"/>
          <w:sz w:val="22"/>
          <w:szCs w:val="22"/>
        </w:rPr>
        <w:t>Centers</w:t>
      </w:r>
      <w:r w:rsidR="00100261" w:rsidRPr="00777326">
        <w:rPr>
          <w:rFonts w:asciiTheme="minorHAnsi" w:hAnsiTheme="minorHAnsi" w:cs="Arial"/>
          <w:color w:val="000000"/>
          <w:sz w:val="22"/>
          <w:szCs w:val="22"/>
        </w:rPr>
        <w:t xml:space="preserve"> must meet a stringent set of requirements, including providing care </w:t>
      </w:r>
      <w:r w:rsidR="00811168" w:rsidRPr="00777326">
        <w:rPr>
          <w:rFonts w:asciiTheme="minorHAnsi" w:hAnsiTheme="minorHAnsi" w:cs="Arial"/>
          <w:color w:val="000000"/>
          <w:sz w:val="22"/>
          <w:szCs w:val="22"/>
        </w:rPr>
        <w:t xml:space="preserve">to people of all ages </w:t>
      </w:r>
      <w:r w:rsidR="00100261" w:rsidRPr="00777326">
        <w:rPr>
          <w:rFonts w:asciiTheme="minorHAnsi" w:hAnsiTheme="minorHAnsi" w:cs="Arial"/>
          <w:color w:val="000000"/>
          <w:sz w:val="22"/>
          <w:szCs w:val="22"/>
        </w:rPr>
        <w:t>on a sliding fee scale based on ability to pay</w:t>
      </w:r>
      <w:r w:rsidR="003A14C6" w:rsidRPr="00777326">
        <w:rPr>
          <w:rFonts w:asciiTheme="minorHAnsi" w:hAnsiTheme="minorHAnsi" w:cs="Arial"/>
          <w:color w:val="000000"/>
          <w:sz w:val="22"/>
          <w:szCs w:val="22"/>
        </w:rPr>
        <w:t xml:space="preserve">. </w:t>
      </w:r>
      <w:r w:rsidR="00FB5A2E" w:rsidRPr="00777326">
        <w:rPr>
          <w:rFonts w:asciiTheme="minorHAnsi" w:hAnsiTheme="minorHAnsi" w:cs="Arial"/>
          <w:color w:val="000000"/>
          <w:sz w:val="22"/>
          <w:szCs w:val="22"/>
        </w:rPr>
        <w:t xml:space="preserve"> Health C</w:t>
      </w:r>
      <w:r w:rsidR="00962C8F" w:rsidRPr="00777326">
        <w:rPr>
          <w:rFonts w:asciiTheme="minorHAnsi" w:hAnsiTheme="minorHAnsi" w:cs="Arial"/>
          <w:color w:val="000000"/>
          <w:sz w:val="22"/>
          <w:szCs w:val="22"/>
        </w:rPr>
        <w:t>enters</w:t>
      </w:r>
      <w:r w:rsidR="00C03016" w:rsidRPr="00777326">
        <w:rPr>
          <w:rFonts w:asciiTheme="minorHAnsi" w:hAnsiTheme="minorHAnsi" w:cs="Arial"/>
          <w:color w:val="000000"/>
          <w:sz w:val="22"/>
          <w:szCs w:val="22"/>
        </w:rPr>
        <w:t xml:space="preserve"> include:</w:t>
      </w:r>
      <w:r w:rsidR="003A14C6" w:rsidRPr="00777326">
        <w:rPr>
          <w:rFonts w:asciiTheme="minorHAnsi" w:hAnsiTheme="minorHAnsi" w:cs="Arial"/>
          <w:color w:val="000000"/>
          <w:sz w:val="22"/>
          <w:szCs w:val="22"/>
        </w:rPr>
        <w:t xml:space="preserve"> F</w:t>
      </w:r>
      <w:r w:rsidR="00100261" w:rsidRPr="00777326">
        <w:rPr>
          <w:rFonts w:asciiTheme="minorHAnsi" w:hAnsiTheme="minorHAnsi" w:cs="Arial"/>
          <w:color w:val="000000"/>
          <w:sz w:val="22"/>
          <w:szCs w:val="22"/>
        </w:rPr>
        <w:t>ederally Qualified Health Centers</w:t>
      </w:r>
      <w:r w:rsidR="003A14C6" w:rsidRPr="00777326">
        <w:rPr>
          <w:rFonts w:asciiTheme="minorHAnsi" w:hAnsiTheme="minorHAnsi" w:cs="Arial"/>
          <w:color w:val="000000"/>
          <w:sz w:val="22"/>
          <w:szCs w:val="22"/>
        </w:rPr>
        <w:t xml:space="preserve"> and their “look</w:t>
      </w:r>
      <w:r w:rsidR="00962C8F" w:rsidRPr="00777326">
        <w:rPr>
          <w:rFonts w:asciiTheme="minorHAnsi" w:hAnsiTheme="minorHAnsi" w:cs="Arial"/>
          <w:color w:val="000000"/>
          <w:sz w:val="22"/>
          <w:szCs w:val="22"/>
        </w:rPr>
        <w:t>-</w:t>
      </w:r>
      <w:r w:rsidR="003A14C6" w:rsidRPr="00777326">
        <w:rPr>
          <w:rFonts w:asciiTheme="minorHAnsi" w:hAnsiTheme="minorHAnsi" w:cs="Arial"/>
          <w:color w:val="000000"/>
          <w:sz w:val="22"/>
          <w:szCs w:val="22"/>
        </w:rPr>
        <w:t>alikes</w:t>
      </w:r>
      <w:r w:rsidR="00930767" w:rsidRPr="00777326">
        <w:rPr>
          <w:rStyle w:val="FootnoteReference"/>
          <w:rFonts w:asciiTheme="minorHAnsi" w:hAnsiTheme="minorHAnsi" w:cs="Arial"/>
          <w:color w:val="000000"/>
          <w:sz w:val="22"/>
          <w:szCs w:val="22"/>
        </w:rPr>
        <w:footnoteReference w:id="3"/>
      </w:r>
      <w:r w:rsidR="00962C8F" w:rsidRPr="00777326">
        <w:rPr>
          <w:rFonts w:asciiTheme="minorHAnsi" w:hAnsiTheme="minorHAnsi" w:cs="Arial"/>
          <w:color w:val="000000"/>
          <w:sz w:val="22"/>
          <w:szCs w:val="22"/>
        </w:rPr>
        <w:t>,</w:t>
      </w:r>
      <w:r w:rsidR="003A14C6" w:rsidRPr="00777326">
        <w:rPr>
          <w:rFonts w:asciiTheme="minorHAnsi" w:hAnsiTheme="minorHAnsi" w:cs="Arial"/>
          <w:color w:val="000000"/>
          <w:sz w:val="22"/>
          <w:szCs w:val="22"/>
        </w:rPr>
        <w:t>”</w:t>
      </w:r>
      <w:r w:rsidR="00100261" w:rsidRPr="00777326">
        <w:rPr>
          <w:rFonts w:asciiTheme="minorHAnsi" w:hAnsiTheme="minorHAnsi" w:cs="Arial"/>
          <w:color w:val="000000"/>
          <w:sz w:val="22"/>
          <w:szCs w:val="22"/>
        </w:rPr>
        <w:t xml:space="preserve"> Community Health Centers, Migrant Health Centers, </w:t>
      </w:r>
      <w:proofErr w:type="gramStart"/>
      <w:r w:rsidR="00100261" w:rsidRPr="00777326">
        <w:rPr>
          <w:rFonts w:asciiTheme="minorHAnsi" w:hAnsiTheme="minorHAnsi" w:cs="Arial"/>
          <w:color w:val="000000"/>
          <w:sz w:val="22"/>
          <w:szCs w:val="22"/>
        </w:rPr>
        <w:t>Health</w:t>
      </w:r>
      <w:proofErr w:type="gramEnd"/>
      <w:r w:rsidR="00100261" w:rsidRPr="00777326">
        <w:rPr>
          <w:rFonts w:asciiTheme="minorHAnsi" w:hAnsiTheme="minorHAnsi" w:cs="Arial"/>
          <w:color w:val="000000"/>
          <w:sz w:val="22"/>
          <w:szCs w:val="22"/>
        </w:rPr>
        <w:t xml:space="preserve"> Care for the Homeless, and Health Centers for Residents of Public Housing.</w:t>
      </w:r>
      <w:r w:rsidR="003A14C6" w:rsidRPr="00777326">
        <w:rPr>
          <w:rFonts w:asciiTheme="minorHAnsi" w:hAnsiTheme="minorHAnsi"/>
          <w:sz w:val="22"/>
          <w:szCs w:val="22"/>
        </w:rPr>
        <w:t xml:space="preserve"> </w:t>
      </w:r>
      <w:r w:rsidR="00FB5A2E" w:rsidRPr="00777326">
        <w:rPr>
          <w:rFonts w:asciiTheme="minorHAnsi" w:hAnsiTheme="minorHAnsi"/>
          <w:sz w:val="22"/>
          <w:szCs w:val="22"/>
        </w:rPr>
        <w:t xml:space="preserve"> </w:t>
      </w:r>
      <w:r w:rsidR="00962C8F" w:rsidRPr="00777326">
        <w:rPr>
          <w:rFonts w:asciiTheme="minorHAnsi" w:hAnsiTheme="minorHAnsi"/>
          <w:sz w:val="22"/>
          <w:szCs w:val="22"/>
        </w:rPr>
        <w:t>According to HRSA, about</w:t>
      </w:r>
      <w:r w:rsidR="003A14C6" w:rsidRPr="00777326">
        <w:rPr>
          <w:rFonts w:asciiTheme="minorHAnsi" w:hAnsiTheme="minorHAnsi" w:cs="Arial"/>
          <w:color w:val="000000"/>
          <w:sz w:val="22"/>
          <w:szCs w:val="22"/>
        </w:rPr>
        <w:t xml:space="preserve"> 1 in 14</w:t>
      </w:r>
      <w:r w:rsidR="00FB5A2E" w:rsidRPr="00777326">
        <w:rPr>
          <w:rFonts w:asciiTheme="minorHAnsi" w:hAnsiTheme="minorHAnsi" w:cs="Arial"/>
          <w:color w:val="000000"/>
          <w:sz w:val="22"/>
          <w:szCs w:val="22"/>
        </w:rPr>
        <w:t xml:space="preserve"> people </w:t>
      </w:r>
      <w:r w:rsidR="0033769E" w:rsidRPr="00777326">
        <w:rPr>
          <w:rFonts w:asciiTheme="minorHAnsi" w:hAnsiTheme="minorHAnsi" w:cs="Arial"/>
          <w:color w:val="000000"/>
          <w:sz w:val="22"/>
          <w:szCs w:val="22"/>
        </w:rPr>
        <w:t>use</w:t>
      </w:r>
      <w:r w:rsidR="00FB5A2E" w:rsidRPr="00777326">
        <w:rPr>
          <w:rFonts w:asciiTheme="minorHAnsi" w:hAnsiTheme="minorHAnsi" w:cs="Arial"/>
          <w:color w:val="000000"/>
          <w:sz w:val="22"/>
          <w:szCs w:val="22"/>
        </w:rPr>
        <w:t xml:space="preserve"> </w:t>
      </w:r>
      <w:r w:rsidR="00824A8F" w:rsidRPr="00777326">
        <w:rPr>
          <w:rFonts w:asciiTheme="minorHAnsi" w:hAnsiTheme="minorHAnsi" w:cs="Arial"/>
          <w:color w:val="000000"/>
          <w:sz w:val="22"/>
          <w:szCs w:val="22"/>
        </w:rPr>
        <w:t xml:space="preserve">a </w:t>
      </w:r>
      <w:r w:rsidR="00811168" w:rsidRPr="00777326">
        <w:rPr>
          <w:rFonts w:asciiTheme="minorHAnsi" w:hAnsiTheme="minorHAnsi" w:cs="Arial"/>
          <w:color w:val="000000"/>
          <w:sz w:val="22"/>
          <w:szCs w:val="22"/>
        </w:rPr>
        <w:t>Health C</w:t>
      </w:r>
      <w:r w:rsidR="00962C8F" w:rsidRPr="00777326">
        <w:rPr>
          <w:rFonts w:asciiTheme="minorHAnsi" w:hAnsiTheme="minorHAnsi" w:cs="Arial"/>
          <w:color w:val="000000"/>
          <w:sz w:val="22"/>
          <w:szCs w:val="22"/>
        </w:rPr>
        <w:t xml:space="preserve">enter for medical care. </w:t>
      </w:r>
      <w:r w:rsidR="003A14C6" w:rsidRPr="00777326">
        <w:rPr>
          <w:rFonts w:asciiTheme="minorHAnsi" w:hAnsiTheme="minorHAnsi" w:cs="Arial"/>
          <w:color w:val="000000"/>
          <w:sz w:val="22"/>
          <w:szCs w:val="22"/>
        </w:rPr>
        <w:t xml:space="preserve">Nearly 1,400 health centers operate 9,800 service delivery sites in every U.S. state, </w:t>
      </w:r>
      <w:r w:rsidR="00FB5A2E" w:rsidRPr="00777326">
        <w:rPr>
          <w:rFonts w:asciiTheme="minorHAnsi" w:hAnsiTheme="minorHAnsi" w:cs="Arial"/>
          <w:color w:val="000000"/>
          <w:sz w:val="22"/>
          <w:szCs w:val="22"/>
        </w:rPr>
        <w:t xml:space="preserve">the </w:t>
      </w:r>
      <w:r w:rsidR="00FB5A2E" w:rsidRPr="00777326">
        <w:rPr>
          <w:rFonts w:asciiTheme="minorHAnsi" w:hAnsiTheme="minorHAnsi" w:cs="Arial"/>
          <w:color w:val="000000"/>
          <w:sz w:val="22"/>
          <w:szCs w:val="22"/>
        </w:rPr>
        <w:lastRenderedPageBreak/>
        <w:t>District of Columbia (DC)</w:t>
      </w:r>
      <w:r w:rsidR="003A14C6" w:rsidRPr="00777326">
        <w:rPr>
          <w:rFonts w:asciiTheme="minorHAnsi" w:hAnsiTheme="minorHAnsi" w:cs="Arial"/>
          <w:color w:val="000000"/>
          <w:sz w:val="22"/>
          <w:szCs w:val="22"/>
        </w:rPr>
        <w:t>, Puerto Rico, the Virgin Islands and the Pacific Basin</w:t>
      </w:r>
      <w:r w:rsidR="00CC7ACB" w:rsidRPr="00777326">
        <w:rPr>
          <w:rFonts w:asciiTheme="minorHAnsi" w:hAnsiTheme="minorHAnsi" w:cs="Arial"/>
          <w:color w:val="000000"/>
          <w:sz w:val="22"/>
          <w:szCs w:val="22"/>
        </w:rPr>
        <w:t xml:space="preserve"> (</w:t>
      </w:r>
      <w:r w:rsidR="00685602" w:rsidRPr="00777326">
        <w:rPr>
          <w:rFonts w:asciiTheme="minorHAnsi" w:hAnsiTheme="minorHAnsi" w:cs="Arial"/>
          <w:color w:val="000000"/>
          <w:sz w:val="22"/>
          <w:szCs w:val="22"/>
        </w:rPr>
        <w:t xml:space="preserve">DHHS, </w:t>
      </w:r>
      <w:r w:rsidR="00CC7ACB" w:rsidRPr="00777326">
        <w:rPr>
          <w:rFonts w:asciiTheme="minorHAnsi" w:hAnsiTheme="minorHAnsi" w:cs="Arial"/>
          <w:color w:val="000000"/>
          <w:sz w:val="22"/>
          <w:szCs w:val="22"/>
        </w:rPr>
        <w:t>HRSA</w:t>
      </w:r>
      <w:r w:rsidR="0055104A" w:rsidRPr="00777326">
        <w:rPr>
          <w:rFonts w:asciiTheme="minorHAnsi" w:hAnsiTheme="minorHAnsi" w:cs="Arial"/>
          <w:color w:val="000000"/>
          <w:sz w:val="22"/>
          <w:szCs w:val="22"/>
        </w:rPr>
        <w:t>,</w:t>
      </w:r>
      <w:r w:rsidR="00CC7ACB" w:rsidRPr="00777326">
        <w:rPr>
          <w:rFonts w:asciiTheme="minorHAnsi" w:hAnsiTheme="minorHAnsi" w:cs="Arial"/>
          <w:color w:val="000000"/>
          <w:sz w:val="22"/>
          <w:szCs w:val="22"/>
        </w:rPr>
        <w:t xml:space="preserve"> </w:t>
      </w:r>
      <w:r w:rsidR="00685602" w:rsidRPr="00777326">
        <w:rPr>
          <w:rFonts w:asciiTheme="minorHAnsi" w:hAnsiTheme="minorHAnsi" w:cs="Arial"/>
          <w:color w:val="000000"/>
          <w:sz w:val="22"/>
          <w:szCs w:val="22"/>
        </w:rPr>
        <w:t xml:space="preserve">(a) </w:t>
      </w:r>
      <w:r w:rsidR="00CC7ACB" w:rsidRPr="00777326">
        <w:rPr>
          <w:rFonts w:asciiTheme="minorHAnsi" w:hAnsiTheme="minorHAnsi" w:cs="Arial"/>
          <w:color w:val="000000"/>
          <w:sz w:val="22"/>
          <w:szCs w:val="22"/>
        </w:rPr>
        <w:t>accessed on August 11, 2016)</w:t>
      </w:r>
      <w:r w:rsidR="00962C8F" w:rsidRPr="00777326">
        <w:rPr>
          <w:rFonts w:asciiTheme="minorHAnsi" w:hAnsiTheme="minorHAnsi" w:cs="Arial"/>
          <w:color w:val="000000"/>
          <w:sz w:val="22"/>
          <w:szCs w:val="22"/>
        </w:rPr>
        <w:t xml:space="preserve">. </w:t>
      </w:r>
    </w:p>
    <w:p w14:paraId="1612B7AA" w14:textId="7725E7CC" w:rsidR="002A1B5D" w:rsidRPr="00777326" w:rsidRDefault="00962C8F" w:rsidP="00962C8F">
      <w:pPr>
        <w:spacing w:line="240" w:lineRule="auto"/>
        <w:rPr>
          <w:rFonts w:cs="Arial"/>
        </w:rPr>
      </w:pPr>
      <w:r w:rsidRPr="00777326">
        <w:rPr>
          <w:lang w:val="en"/>
        </w:rPr>
        <w:t xml:space="preserve">Dental services are among those that </w:t>
      </w:r>
      <w:r w:rsidR="00FB5A2E" w:rsidRPr="00777326">
        <w:rPr>
          <w:lang w:val="en"/>
        </w:rPr>
        <w:t xml:space="preserve">Health </w:t>
      </w:r>
      <w:r w:rsidRPr="00777326">
        <w:rPr>
          <w:lang w:val="en"/>
        </w:rPr>
        <w:t xml:space="preserve">Centers must </w:t>
      </w:r>
      <w:r w:rsidR="00FB5A2E" w:rsidRPr="00777326">
        <w:rPr>
          <w:lang w:val="en"/>
        </w:rPr>
        <w:t xml:space="preserve">arrange for or </w:t>
      </w:r>
      <w:r w:rsidRPr="00777326">
        <w:rPr>
          <w:lang w:val="en"/>
        </w:rPr>
        <w:t>provide</w:t>
      </w:r>
      <w:r w:rsidR="00FB5A2E" w:rsidRPr="00777326">
        <w:rPr>
          <w:lang w:val="en"/>
        </w:rPr>
        <w:t xml:space="preserve"> themselves</w:t>
      </w:r>
      <w:r w:rsidRPr="00777326">
        <w:rPr>
          <w:lang w:val="en"/>
        </w:rPr>
        <w:t xml:space="preserve">. </w:t>
      </w:r>
      <w:r w:rsidRPr="00777326">
        <w:rPr>
          <w:rFonts w:eastAsia="Times New Roman" w:cs="Arial"/>
          <w:color w:val="333333"/>
          <w:lang w:val="en"/>
        </w:rPr>
        <w:t xml:space="preserve"> </w:t>
      </w:r>
      <w:r w:rsidR="007F1880" w:rsidRPr="00777326">
        <w:rPr>
          <w:rFonts w:cs="Arial"/>
        </w:rPr>
        <w:t>The definition of prim</w:t>
      </w:r>
      <w:r w:rsidR="0028480A" w:rsidRPr="00777326">
        <w:rPr>
          <w:rFonts w:cs="Arial"/>
        </w:rPr>
        <w:t>ary health services includes, “p</w:t>
      </w:r>
      <w:r w:rsidR="007F1880" w:rsidRPr="00777326">
        <w:rPr>
          <w:rFonts w:cs="Arial"/>
        </w:rPr>
        <w:t>reventive dental services provided by a licensed dentist or other qualified personnel, including (</w:t>
      </w:r>
      <w:proofErr w:type="spellStart"/>
      <w:r w:rsidR="007F1880" w:rsidRPr="00777326">
        <w:rPr>
          <w:rFonts w:cs="Arial"/>
        </w:rPr>
        <w:t>i</w:t>
      </w:r>
      <w:proofErr w:type="spellEnd"/>
      <w:r w:rsidR="007F1880" w:rsidRPr="00777326">
        <w:rPr>
          <w:rFonts w:cs="Arial"/>
        </w:rPr>
        <w:t xml:space="preserve">) oral hygiene instruction; (ii) oral prophylaxis, as necessary; and (iii) topical application of fluorides, and the prescription of fluorides for systemic use when not available in the community water supply.” </w:t>
      </w:r>
      <w:r w:rsidR="00FB5A2E" w:rsidRPr="00777326">
        <w:rPr>
          <w:rFonts w:cs="Arial"/>
        </w:rPr>
        <w:t xml:space="preserve"> </w:t>
      </w:r>
      <w:r w:rsidR="0028480A" w:rsidRPr="00777326">
        <w:rPr>
          <w:rFonts w:cs="Arial"/>
        </w:rPr>
        <w:t>Supplemental services include “d</w:t>
      </w:r>
      <w:r w:rsidR="007F1880" w:rsidRPr="00777326">
        <w:rPr>
          <w:rFonts w:cs="Arial"/>
        </w:rPr>
        <w:t>ental services other than those provided as primary health services.”(42 CFR Chapter I, Subchapter D, Part 51, subpart A, section 102, (h)(6)</w:t>
      </w:r>
      <w:r w:rsidR="00C03016" w:rsidRPr="00777326">
        <w:rPr>
          <w:rFonts w:cs="Arial"/>
        </w:rPr>
        <w:t xml:space="preserve">. </w:t>
      </w:r>
    </w:p>
    <w:p w14:paraId="671CC454" w14:textId="2D4C749D" w:rsidR="00A44769" w:rsidRPr="00777326" w:rsidRDefault="002A1B5D" w:rsidP="002A1B5D">
      <w:pPr>
        <w:spacing w:line="240" w:lineRule="auto"/>
        <w:rPr>
          <w:rFonts w:cs="Arial"/>
          <w:color w:val="000000"/>
          <w:lang w:val="en"/>
        </w:rPr>
      </w:pPr>
      <w:r w:rsidRPr="00777326">
        <w:rPr>
          <w:rFonts w:cs="Arial"/>
          <w:color w:val="000000"/>
          <w:lang w:val="en"/>
        </w:rPr>
        <w:t>In 2014, Community Health Centers</w:t>
      </w:r>
      <w:r w:rsidR="00C03016" w:rsidRPr="00777326">
        <w:rPr>
          <w:rFonts w:cs="Arial"/>
          <w:color w:val="000000"/>
          <w:lang w:val="en"/>
        </w:rPr>
        <w:t xml:space="preserve"> served about 4.7 million dental patients and provided nearly 12 million oral health visits (</w:t>
      </w:r>
      <w:r w:rsidR="00685602" w:rsidRPr="00777326">
        <w:rPr>
          <w:rFonts w:cs="Arial"/>
          <w:color w:val="000000"/>
          <w:lang w:val="en"/>
        </w:rPr>
        <w:t>D</w:t>
      </w:r>
      <w:r w:rsidR="00C03016" w:rsidRPr="00777326">
        <w:rPr>
          <w:rFonts w:cs="Arial"/>
          <w:color w:val="000000"/>
          <w:lang w:val="en"/>
        </w:rPr>
        <w:t xml:space="preserve">HHS/HRSA </w:t>
      </w:r>
      <w:r w:rsidR="00685602" w:rsidRPr="00777326">
        <w:rPr>
          <w:rFonts w:cs="Arial"/>
          <w:color w:val="000000"/>
          <w:lang w:val="en"/>
        </w:rPr>
        <w:t xml:space="preserve">(b) </w:t>
      </w:r>
      <w:r w:rsidR="00C03016" w:rsidRPr="00777326">
        <w:rPr>
          <w:rFonts w:cs="Arial"/>
          <w:color w:val="000000"/>
          <w:lang w:val="en"/>
        </w:rPr>
        <w:t>June 16, 2016</w:t>
      </w:r>
      <w:r w:rsidR="00685602" w:rsidRPr="00777326">
        <w:rPr>
          <w:rFonts w:cs="Arial"/>
          <w:color w:val="000000"/>
          <w:lang w:val="en"/>
        </w:rPr>
        <w:t>)</w:t>
      </w:r>
      <w:r w:rsidR="00097264" w:rsidRPr="00777326">
        <w:rPr>
          <w:rFonts w:cs="Arial"/>
          <w:color w:val="000000"/>
          <w:lang w:val="en"/>
        </w:rPr>
        <w:t>.</w:t>
      </w:r>
      <w:r w:rsidR="00C03016" w:rsidRPr="00777326">
        <w:rPr>
          <w:rFonts w:cs="Arial"/>
          <w:color w:val="000000"/>
          <w:lang w:val="en"/>
        </w:rPr>
        <w:t xml:space="preserve">  </w:t>
      </w:r>
      <w:r w:rsidR="00546E83" w:rsidRPr="00777326">
        <w:rPr>
          <w:rFonts w:cs="Arial"/>
          <w:color w:val="000000"/>
          <w:lang w:val="en"/>
        </w:rPr>
        <w:t>I</w:t>
      </w:r>
      <w:r w:rsidR="00C03016" w:rsidRPr="00777326">
        <w:rPr>
          <w:rFonts w:cs="Arial"/>
          <w:color w:val="000000"/>
          <w:lang w:val="en"/>
        </w:rPr>
        <w:t xml:space="preserve">n 2016, </w:t>
      </w:r>
      <w:r w:rsidR="00A44769" w:rsidRPr="00777326">
        <w:rPr>
          <w:rFonts w:cs="Arial"/>
          <w:color w:val="000000"/>
          <w:lang w:val="en"/>
        </w:rPr>
        <w:t xml:space="preserve">420 health centers in 47 </w:t>
      </w:r>
      <w:r w:rsidR="00FB5A2E" w:rsidRPr="00777326">
        <w:rPr>
          <w:rFonts w:cs="Arial"/>
          <w:color w:val="000000"/>
          <w:lang w:val="en"/>
        </w:rPr>
        <w:t>states, DC,</w:t>
      </w:r>
      <w:r w:rsidR="00A44769" w:rsidRPr="00777326">
        <w:rPr>
          <w:rFonts w:cs="Arial"/>
          <w:color w:val="000000"/>
          <w:lang w:val="en"/>
        </w:rPr>
        <w:t xml:space="preserve"> and Puerto Rico</w:t>
      </w:r>
      <w:r w:rsidR="00C03016" w:rsidRPr="00777326">
        <w:rPr>
          <w:rFonts w:cs="Arial"/>
          <w:color w:val="000000"/>
          <w:lang w:val="en"/>
        </w:rPr>
        <w:t xml:space="preserve"> received $156 million</w:t>
      </w:r>
      <w:r w:rsidR="00A44769" w:rsidRPr="00777326">
        <w:rPr>
          <w:rFonts w:cs="Arial"/>
          <w:color w:val="000000"/>
          <w:lang w:val="en"/>
        </w:rPr>
        <w:t xml:space="preserve"> to</w:t>
      </w:r>
      <w:r w:rsidRPr="00777326">
        <w:rPr>
          <w:rFonts w:cs="Arial"/>
          <w:color w:val="000000"/>
          <w:lang w:val="en"/>
        </w:rPr>
        <w:t xml:space="preserve"> expand these services and </w:t>
      </w:r>
      <w:r w:rsidR="00A44769" w:rsidRPr="00777326">
        <w:rPr>
          <w:rFonts w:cs="Arial"/>
          <w:color w:val="000000"/>
          <w:lang w:val="en"/>
        </w:rPr>
        <w:t xml:space="preserve">increase access to integrated oral health care </w:t>
      </w:r>
      <w:r w:rsidRPr="00777326">
        <w:rPr>
          <w:rFonts w:cs="Arial"/>
          <w:color w:val="000000"/>
          <w:lang w:val="en"/>
        </w:rPr>
        <w:t>services and improve</w:t>
      </w:r>
      <w:r w:rsidR="00A44769" w:rsidRPr="00777326">
        <w:rPr>
          <w:rFonts w:cs="Arial"/>
          <w:color w:val="000000"/>
          <w:lang w:val="en"/>
        </w:rPr>
        <w:t xml:space="preserve"> ou</w:t>
      </w:r>
      <w:r w:rsidR="00C03016" w:rsidRPr="00777326">
        <w:rPr>
          <w:rFonts w:cs="Arial"/>
          <w:color w:val="000000"/>
          <w:lang w:val="en"/>
        </w:rPr>
        <w:t>tcomes for their</w:t>
      </w:r>
      <w:r w:rsidR="00A44769" w:rsidRPr="00777326">
        <w:rPr>
          <w:rFonts w:cs="Arial"/>
          <w:color w:val="000000"/>
          <w:lang w:val="en"/>
        </w:rPr>
        <w:t xml:space="preserve"> patients.</w:t>
      </w:r>
      <w:r w:rsidR="002C53F2" w:rsidRPr="00777326">
        <w:rPr>
          <w:rFonts w:cs="Arial"/>
          <w:color w:val="000000"/>
          <w:lang w:val="en"/>
        </w:rPr>
        <w:t xml:space="preserve"> </w:t>
      </w:r>
    </w:p>
    <w:p w14:paraId="55A4C6F8" w14:textId="06BA1A5D" w:rsidR="00241D7C" w:rsidRPr="005761E5" w:rsidRDefault="005761E5" w:rsidP="005761E5">
      <w:pPr>
        <w:pStyle w:val="Heading1"/>
        <w:ind w:left="720"/>
        <w:rPr>
          <w:rFonts w:asciiTheme="minorHAnsi" w:hAnsiTheme="minorHAnsi"/>
          <w:sz w:val="22"/>
          <w:szCs w:val="22"/>
        </w:rPr>
      </w:pPr>
      <w:proofErr w:type="gramStart"/>
      <w:r w:rsidRPr="005761E5">
        <w:rPr>
          <w:rFonts w:asciiTheme="minorHAnsi" w:hAnsiTheme="minorHAnsi"/>
          <w:color w:val="auto"/>
          <w:sz w:val="22"/>
          <w:szCs w:val="22"/>
        </w:rPr>
        <w:t>5</w:t>
      </w:r>
      <w:r w:rsidR="00241D7C" w:rsidRPr="005761E5">
        <w:rPr>
          <w:rFonts w:asciiTheme="minorHAnsi" w:hAnsiTheme="minorHAnsi"/>
          <w:color w:val="auto"/>
          <w:sz w:val="22"/>
          <w:szCs w:val="22"/>
        </w:rPr>
        <w:t>.d</w:t>
      </w:r>
      <w:proofErr w:type="gramEnd"/>
      <w:r w:rsidR="00241D7C" w:rsidRPr="005761E5">
        <w:rPr>
          <w:rFonts w:asciiTheme="minorHAnsi" w:hAnsiTheme="minorHAnsi"/>
          <w:color w:val="auto"/>
          <w:sz w:val="22"/>
          <w:szCs w:val="22"/>
        </w:rPr>
        <w:t>. Older Americans Act, Title III-D</w:t>
      </w:r>
    </w:p>
    <w:p w14:paraId="0B68E0D0" w14:textId="0CECD98C" w:rsidR="00241D7C" w:rsidRPr="00777326" w:rsidRDefault="00185F25" w:rsidP="008E42C6">
      <w:pPr>
        <w:autoSpaceDE w:val="0"/>
        <w:autoSpaceDN w:val="0"/>
        <w:adjustRightInd w:val="0"/>
        <w:spacing w:after="0" w:line="240" w:lineRule="auto"/>
        <w:rPr>
          <w:rFonts w:cs="Arial"/>
        </w:rPr>
      </w:pPr>
      <w:r w:rsidRPr="00777326">
        <w:rPr>
          <w:rFonts w:cs="Arial"/>
          <w:color w:val="000000"/>
        </w:rPr>
        <w:t xml:space="preserve">The 2016 Older Americans Act Reauthorization </w:t>
      </w:r>
      <w:r w:rsidR="00C01CA5" w:rsidRPr="00777326">
        <w:rPr>
          <w:rFonts w:cs="Arial"/>
          <w:color w:val="000000"/>
        </w:rPr>
        <w:t xml:space="preserve">adds “oral health” to the Title I definition of Disease Prevention and Health Promotion services. </w:t>
      </w:r>
      <w:r w:rsidR="00241D7C" w:rsidRPr="00777326">
        <w:rPr>
          <w:rFonts w:cs="Arial"/>
        </w:rPr>
        <w:t xml:space="preserve">The addition of “oral health” to the OAA’s definition highlights that oral health is a crucial component of the health and wellness of older adults.  However, as with all disease prevention and health promotion activities funded under Title III-D, </w:t>
      </w:r>
      <w:r w:rsidR="007E3D36" w:rsidRPr="00777326">
        <w:rPr>
          <w:rFonts w:cs="Arial"/>
        </w:rPr>
        <w:t xml:space="preserve">funds are limited and </w:t>
      </w:r>
      <w:r w:rsidR="00241D7C" w:rsidRPr="00777326">
        <w:rPr>
          <w:rFonts w:cs="Arial"/>
        </w:rPr>
        <w:t>oral health activities must be part of an evidence-based program. </w:t>
      </w:r>
      <w:r w:rsidR="00D819B0" w:rsidRPr="00777326">
        <w:rPr>
          <w:rFonts w:cs="Arial"/>
        </w:rPr>
        <w:t xml:space="preserve"> </w:t>
      </w:r>
    </w:p>
    <w:p w14:paraId="5185470E" w14:textId="0F9B741B" w:rsidR="00094764" w:rsidRPr="008E42C6" w:rsidRDefault="00CD07FB" w:rsidP="008E42C6">
      <w:pPr>
        <w:pStyle w:val="Heading1"/>
        <w:numPr>
          <w:ilvl w:val="0"/>
          <w:numId w:val="19"/>
        </w:numPr>
        <w:rPr>
          <w:rFonts w:ascii="Calibri" w:hAnsi="Calibri"/>
          <w:color w:val="auto"/>
          <w:sz w:val="22"/>
          <w:szCs w:val="22"/>
        </w:rPr>
      </w:pPr>
      <w:r w:rsidRPr="008E42C6">
        <w:rPr>
          <w:rFonts w:ascii="Calibri" w:hAnsi="Calibri"/>
          <w:color w:val="auto"/>
          <w:sz w:val="22"/>
          <w:szCs w:val="22"/>
        </w:rPr>
        <w:t xml:space="preserve">State Options for </w:t>
      </w:r>
      <w:r w:rsidR="008E42C6">
        <w:rPr>
          <w:rFonts w:ascii="Calibri" w:hAnsi="Calibri"/>
          <w:color w:val="auto"/>
          <w:sz w:val="22"/>
          <w:szCs w:val="22"/>
        </w:rPr>
        <w:t>Expanding</w:t>
      </w:r>
      <w:r w:rsidR="00106DA8" w:rsidRPr="008E42C6">
        <w:rPr>
          <w:rFonts w:ascii="Calibri" w:hAnsi="Calibri"/>
          <w:color w:val="auto"/>
          <w:sz w:val="22"/>
          <w:szCs w:val="22"/>
        </w:rPr>
        <w:t xml:space="preserve"> </w:t>
      </w:r>
      <w:r w:rsidR="0028480A" w:rsidRPr="008E42C6">
        <w:rPr>
          <w:rFonts w:ascii="Calibri" w:hAnsi="Calibri"/>
          <w:color w:val="auto"/>
          <w:sz w:val="22"/>
          <w:szCs w:val="22"/>
        </w:rPr>
        <w:t>Oral H</w:t>
      </w:r>
      <w:r w:rsidR="00E1756A" w:rsidRPr="008E42C6">
        <w:rPr>
          <w:rFonts w:ascii="Calibri" w:hAnsi="Calibri"/>
          <w:color w:val="auto"/>
          <w:sz w:val="22"/>
          <w:szCs w:val="22"/>
        </w:rPr>
        <w:t>ealth</w:t>
      </w:r>
      <w:r w:rsidR="0028480A" w:rsidRPr="008E42C6">
        <w:rPr>
          <w:rFonts w:ascii="Calibri" w:hAnsi="Calibri"/>
          <w:color w:val="auto"/>
          <w:sz w:val="22"/>
          <w:szCs w:val="22"/>
        </w:rPr>
        <w:t xml:space="preserve"> Services</w:t>
      </w:r>
      <w:r w:rsidR="00106DA8" w:rsidRPr="008E42C6">
        <w:rPr>
          <w:rFonts w:ascii="Calibri" w:hAnsi="Calibri"/>
          <w:color w:val="auto"/>
          <w:sz w:val="22"/>
          <w:szCs w:val="22"/>
        </w:rPr>
        <w:t xml:space="preserve"> </w:t>
      </w:r>
      <w:r w:rsidR="008E42C6">
        <w:rPr>
          <w:rFonts w:ascii="Calibri" w:hAnsi="Calibri"/>
          <w:color w:val="auto"/>
          <w:sz w:val="22"/>
          <w:szCs w:val="22"/>
        </w:rPr>
        <w:t>for</w:t>
      </w:r>
      <w:r w:rsidRPr="008E42C6">
        <w:rPr>
          <w:rFonts w:ascii="Calibri" w:hAnsi="Calibri"/>
          <w:color w:val="auto"/>
          <w:sz w:val="22"/>
          <w:szCs w:val="22"/>
        </w:rPr>
        <w:t xml:space="preserve"> Adults </w:t>
      </w:r>
      <w:r w:rsidR="008E42C6">
        <w:rPr>
          <w:rFonts w:ascii="Calibri" w:hAnsi="Calibri"/>
          <w:color w:val="auto"/>
          <w:sz w:val="22"/>
          <w:szCs w:val="22"/>
        </w:rPr>
        <w:t xml:space="preserve">who Are Older or Have </w:t>
      </w:r>
      <w:r w:rsidRPr="008E42C6">
        <w:rPr>
          <w:rFonts w:ascii="Calibri" w:hAnsi="Calibri"/>
          <w:color w:val="auto"/>
          <w:sz w:val="22"/>
          <w:szCs w:val="22"/>
        </w:rPr>
        <w:t>Disabilities</w:t>
      </w:r>
    </w:p>
    <w:p w14:paraId="31114E29" w14:textId="54512AC7" w:rsidR="00263285" w:rsidRPr="00777326" w:rsidRDefault="008E42C6" w:rsidP="00106DA8">
      <w:pPr>
        <w:spacing w:line="240" w:lineRule="auto"/>
        <w:rPr>
          <w:rFonts w:cs="Arial"/>
          <w:iCs/>
        </w:rPr>
      </w:pPr>
      <w:r>
        <w:rPr>
          <w:rFonts w:cs="Arial"/>
          <w:iCs/>
        </w:rPr>
        <w:t>Section 5</w:t>
      </w:r>
      <w:r w:rsidR="002A1B5D" w:rsidRPr="00777326">
        <w:rPr>
          <w:rFonts w:cs="Arial"/>
          <w:iCs/>
        </w:rPr>
        <w:t xml:space="preserve"> above describes </w:t>
      </w:r>
      <w:r w:rsidR="009259C7" w:rsidRPr="00777326">
        <w:rPr>
          <w:rFonts w:cs="Arial"/>
          <w:iCs/>
        </w:rPr>
        <w:t xml:space="preserve">several sources of funding for oral health promotion, disease prevention, and treatment.  The biggest opportunity for states is to expand their Medicaid dental coverage so that </w:t>
      </w:r>
      <w:r w:rsidR="00263285" w:rsidRPr="00777326">
        <w:rPr>
          <w:rFonts w:cs="Arial"/>
          <w:iCs/>
        </w:rPr>
        <w:t xml:space="preserve">all adults, including those who are older or have </w:t>
      </w:r>
      <w:r w:rsidR="009259C7" w:rsidRPr="00777326">
        <w:rPr>
          <w:rFonts w:cs="Arial"/>
          <w:iCs/>
        </w:rPr>
        <w:t>disabilities</w:t>
      </w:r>
      <w:r w:rsidR="00263285" w:rsidRPr="00777326">
        <w:rPr>
          <w:rFonts w:cs="Arial"/>
          <w:iCs/>
        </w:rPr>
        <w:t>,</w:t>
      </w:r>
      <w:r w:rsidR="009259C7" w:rsidRPr="00777326">
        <w:rPr>
          <w:rFonts w:cs="Arial"/>
          <w:iCs/>
        </w:rPr>
        <w:t xml:space="preserve"> can access </w:t>
      </w:r>
      <w:r w:rsidR="007E3D36" w:rsidRPr="00777326">
        <w:rPr>
          <w:rFonts w:cs="Arial"/>
          <w:iCs/>
        </w:rPr>
        <w:t xml:space="preserve">preventive </w:t>
      </w:r>
      <w:r w:rsidR="009259C7" w:rsidRPr="00777326">
        <w:rPr>
          <w:rFonts w:cs="Arial"/>
          <w:iCs/>
        </w:rPr>
        <w:t>services and treatment</w:t>
      </w:r>
      <w:r w:rsidR="00C219E2" w:rsidRPr="00777326">
        <w:rPr>
          <w:rFonts w:cs="Arial"/>
          <w:iCs/>
        </w:rPr>
        <w:t xml:space="preserve"> to prevent</w:t>
      </w:r>
      <w:r w:rsidR="009259C7" w:rsidRPr="00777326">
        <w:rPr>
          <w:rFonts w:cs="Arial"/>
          <w:iCs/>
        </w:rPr>
        <w:t xml:space="preserve"> caries or infections</w:t>
      </w:r>
      <w:r w:rsidR="00C219E2" w:rsidRPr="00777326">
        <w:rPr>
          <w:rFonts w:cs="Arial"/>
          <w:iCs/>
        </w:rPr>
        <w:t xml:space="preserve"> from becoming</w:t>
      </w:r>
      <w:r w:rsidR="009259C7" w:rsidRPr="00777326">
        <w:rPr>
          <w:rFonts w:cs="Arial"/>
          <w:iCs/>
        </w:rPr>
        <w:t xml:space="preserve"> serious.</w:t>
      </w:r>
      <w:r w:rsidR="006B24C7" w:rsidRPr="00777326">
        <w:rPr>
          <w:rFonts w:cs="Arial"/>
          <w:iCs/>
        </w:rPr>
        <w:t xml:space="preserve"> States </w:t>
      </w:r>
      <w:r w:rsidR="00263285" w:rsidRPr="00777326">
        <w:rPr>
          <w:rFonts w:cs="Arial"/>
          <w:iCs/>
        </w:rPr>
        <w:t>receive</w:t>
      </w:r>
      <w:r w:rsidR="006B24C7" w:rsidRPr="00777326">
        <w:rPr>
          <w:rFonts w:cs="Arial"/>
          <w:iCs/>
        </w:rPr>
        <w:t xml:space="preserve"> federal match</w:t>
      </w:r>
      <w:r w:rsidR="00263285" w:rsidRPr="00777326">
        <w:rPr>
          <w:rFonts w:cs="Arial"/>
          <w:iCs/>
        </w:rPr>
        <w:t>ing funds</w:t>
      </w:r>
      <w:r w:rsidR="006B24C7" w:rsidRPr="00777326">
        <w:rPr>
          <w:rFonts w:cs="Arial"/>
          <w:iCs/>
        </w:rPr>
        <w:t xml:space="preserve"> when they provide Medicaid’s optional dental services for adults</w:t>
      </w:r>
      <w:r w:rsidR="006B24C7" w:rsidRPr="00777326">
        <w:rPr>
          <w:rStyle w:val="FootnoteReference"/>
          <w:rFonts w:cs="Arial"/>
          <w:iCs/>
        </w:rPr>
        <w:footnoteReference w:id="4"/>
      </w:r>
      <w:r w:rsidR="00824A8F" w:rsidRPr="00777326">
        <w:rPr>
          <w:rFonts w:cs="Arial"/>
          <w:iCs/>
        </w:rPr>
        <w:t xml:space="preserve"> or dental services under a Medicaid waiver.</w:t>
      </w:r>
      <w:r w:rsidR="006B24C7" w:rsidRPr="00777326">
        <w:rPr>
          <w:rFonts w:cs="Arial"/>
          <w:iCs/>
        </w:rPr>
        <w:t xml:space="preserve"> </w:t>
      </w:r>
      <w:r w:rsidR="00263285" w:rsidRPr="00777326">
        <w:rPr>
          <w:rFonts w:cs="Arial"/>
          <w:iCs/>
        </w:rPr>
        <w:t xml:space="preserve"> In addition, states can ensure that </w:t>
      </w:r>
      <w:r w:rsidR="00824A8F" w:rsidRPr="00777326">
        <w:rPr>
          <w:rFonts w:cs="Arial"/>
          <w:iCs/>
        </w:rPr>
        <w:t>Medicaid beneficiaries</w:t>
      </w:r>
      <w:r w:rsidR="006B24C7" w:rsidRPr="00777326">
        <w:rPr>
          <w:rFonts w:cs="Arial"/>
          <w:iCs/>
        </w:rPr>
        <w:t xml:space="preserve"> with disabilities of any age</w:t>
      </w:r>
      <w:r w:rsidR="00263285" w:rsidRPr="00777326">
        <w:rPr>
          <w:rFonts w:cs="Arial"/>
          <w:iCs/>
        </w:rPr>
        <w:t xml:space="preserve"> have the medical equipment they may need</w:t>
      </w:r>
      <w:r w:rsidR="006B24C7" w:rsidRPr="00777326">
        <w:rPr>
          <w:rFonts w:cs="Arial"/>
          <w:iCs/>
        </w:rPr>
        <w:t xml:space="preserve"> to </w:t>
      </w:r>
      <w:r w:rsidR="00263285" w:rsidRPr="00777326">
        <w:rPr>
          <w:rFonts w:cs="Arial"/>
          <w:iCs/>
        </w:rPr>
        <w:t xml:space="preserve">effectively </w:t>
      </w:r>
      <w:r w:rsidR="006B24C7" w:rsidRPr="00777326">
        <w:rPr>
          <w:rFonts w:cs="Arial"/>
          <w:iCs/>
        </w:rPr>
        <w:t>clean their teeth and gums.</w:t>
      </w:r>
      <w:r w:rsidR="009259C7" w:rsidRPr="00777326">
        <w:rPr>
          <w:rFonts w:cs="Arial"/>
          <w:iCs/>
        </w:rPr>
        <w:t xml:space="preserve"> </w:t>
      </w:r>
      <w:r w:rsidR="00C219E2" w:rsidRPr="00777326">
        <w:rPr>
          <w:rFonts w:cs="Arial"/>
          <w:iCs/>
        </w:rPr>
        <w:t xml:space="preserve"> </w:t>
      </w:r>
    </w:p>
    <w:p w14:paraId="0103C679" w14:textId="3D4D8351" w:rsidR="009259C7" w:rsidRPr="00777326" w:rsidRDefault="00C219E2" w:rsidP="00106DA8">
      <w:pPr>
        <w:spacing w:line="240" w:lineRule="auto"/>
        <w:rPr>
          <w:rFonts w:cs="Arial"/>
          <w:iCs/>
        </w:rPr>
      </w:pPr>
      <w:r w:rsidRPr="00777326">
        <w:rPr>
          <w:rFonts w:cs="Arial"/>
          <w:iCs/>
        </w:rPr>
        <w:t>S</w:t>
      </w:r>
      <w:r w:rsidR="009259C7" w:rsidRPr="00777326">
        <w:rPr>
          <w:rFonts w:cs="Arial"/>
          <w:iCs/>
        </w:rPr>
        <w:t xml:space="preserve">tates that expand their dental coverage </w:t>
      </w:r>
      <w:r w:rsidRPr="00777326">
        <w:rPr>
          <w:rFonts w:cs="Arial"/>
          <w:iCs/>
        </w:rPr>
        <w:t>or</w:t>
      </w:r>
      <w:r w:rsidR="002A1B5D" w:rsidRPr="00777326">
        <w:rPr>
          <w:rFonts w:cs="Arial"/>
          <w:iCs/>
        </w:rPr>
        <w:t xml:space="preserve"> already</w:t>
      </w:r>
      <w:r w:rsidR="009259C7" w:rsidRPr="00777326">
        <w:rPr>
          <w:rFonts w:cs="Arial"/>
          <w:iCs/>
        </w:rPr>
        <w:t xml:space="preserve"> have coverage</w:t>
      </w:r>
      <w:r w:rsidRPr="00777326">
        <w:rPr>
          <w:rFonts w:cs="Arial"/>
          <w:iCs/>
        </w:rPr>
        <w:t xml:space="preserve"> could educate Medic</w:t>
      </w:r>
      <w:r w:rsidR="00263285" w:rsidRPr="00777326">
        <w:rPr>
          <w:rFonts w:cs="Arial"/>
          <w:iCs/>
        </w:rPr>
        <w:t>aid beneficiaries about their benefits</w:t>
      </w:r>
      <w:r w:rsidRPr="00777326">
        <w:rPr>
          <w:rFonts w:cs="Arial"/>
          <w:iCs/>
        </w:rPr>
        <w:t xml:space="preserve"> and provide incentives for them to seek preventive services and treatment.</w:t>
      </w:r>
      <w:r w:rsidR="009259C7" w:rsidRPr="00777326">
        <w:rPr>
          <w:rFonts w:cs="Arial"/>
          <w:iCs/>
        </w:rPr>
        <w:t xml:space="preserve"> In addition, state</w:t>
      </w:r>
      <w:r w:rsidR="007A3632" w:rsidRPr="00777326">
        <w:rPr>
          <w:rFonts w:cs="Arial"/>
          <w:iCs/>
        </w:rPr>
        <w:t>s</w:t>
      </w:r>
      <w:r w:rsidR="009259C7" w:rsidRPr="00777326">
        <w:rPr>
          <w:rFonts w:cs="Arial"/>
          <w:iCs/>
        </w:rPr>
        <w:t xml:space="preserve"> could provide incentives to</w:t>
      </w:r>
      <w:r w:rsidR="00811168" w:rsidRPr="00777326">
        <w:rPr>
          <w:rFonts w:cs="Arial"/>
          <w:iCs/>
        </w:rPr>
        <w:t xml:space="preserve"> </w:t>
      </w:r>
      <w:r w:rsidR="007A3632" w:rsidRPr="00777326">
        <w:rPr>
          <w:rFonts w:cs="Arial"/>
          <w:iCs/>
        </w:rPr>
        <w:t xml:space="preserve">dentists to accept more Medicaid patients and to </w:t>
      </w:r>
      <w:r w:rsidR="00811168" w:rsidRPr="00777326">
        <w:rPr>
          <w:rFonts w:cs="Arial"/>
          <w:iCs/>
        </w:rPr>
        <w:t>Medicaid</w:t>
      </w:r>
      <w:r w:rsidR="009259C7" w:rsidRPr="00777326">
        <w:rPr>
          <w:rFonts w:cs="Arial"/>
          <w:iCs/>
        </w:rPr>
        <w:t xml:space="preserve"> managed care organizations to integrate oral health into</w:t>
      </w:r>
      <w:r w:rsidR="0013256A" w:rsidRPr="00777326">
        <w:rPr>
          <w:rFonts w:cs="Arial"/>
          <w:iCs/>
        </w:rPr>
        <w:t xml:space="preserve"> the</w:t>
      </w:r>
      <w:r w:rsidR="007A3632" w:rsidRPr="00777326">
        <w:rPr>
          <w:rFonts w:cs="Arial"/>
          <w:iCs/>
        </w:rPr>
        <w:t>ir</w:t>
      </w:r>
      <w:r w:rsidR="0013256A" w:rsidRPr="00777326">
        <w:rPr>
          <w:rFonts w:cs="Arial"/>
          <w:iCs/>
        </w:rPr>
        <w:t xml:space="preserve"> health care</w:t>
      </w:r>
      <w:r w:rsidR="00263285" w:rsidRPr="00777326">
        <w:rPr>
          <w:rFonts w:cs="Arial"/>
          <w:iCs/>
        </w:rPr>
        <w:t xml:space="preserve"> networks and</w:t>
      </w:r>
      <w:r w:rsidR="0013256A" w:rsidRPr="00777326">
        <w:rPr>
          <w:rFonts w:cs="Arial"/>
          <w:iCs/>
        </w:rPr>
        <w:t xml:space="preserve"> system</w:t>
      </w:r>
      <w:r w:rsidR="007A3632" w:rsidRPr="00777326">
        <w:rPr>
          <w:rFonts w:cs="Arial"/>
          <w:iCs/>
        </w:rPr>
        <w:t>s</w:t>
      </w:r>
      <w:r w:rsidR="0013256A" w:rsidRPr="00777326">
        <w:rPr>
          <w:rFonts w:cs="Arial"/>
          <w:iCs/>
        </w:rPr>
        <w:t xml:space="preserve"> </w:t>
      </w:r>
      <w:r w:rsidR="009259C7" w:rsidRPr="00777326">
        <w:rPr>
          <w:rFonts w:cs="Arial"/>
          <w:iCs/>
        </w:rPr>
        <w:t>(</w:t>
      </w:r>
      <w:proofErr w:type="spellStart"/>
      <w:r w:rsidR="009259C7" w:rsidRPr="00777326">
        <w:rPr>
          <w:rFonts w:cs="Arial"/>
          <w:iCs/>
        </w:rPr>
        <w:t>Chazin</w:t>
      </w:r>
      <w:proofErr w:type="spellEnd"/>
      <w:r w:rsidR="009259C7" w:rsidRPr="00777326">
        <w:rPr>
          <w:rFonts w:cs="Arial"/>
          <w:iCs/>
        </w:rPr>
        <w:t xml:space="preserve"> and Crawford, 2016)</w:t>
      </w:r>
      <w:r w:rsidR="0013256A" w:rsidRPr="00777326">
        <w:rPr>
          <w:rFonts w:cs="Arial"/>
          <w:iCs/>
        </w:rPr>
        <w:t>.</w:t>
      </w:r>
      <w:r w:rsidR="00283445" w:rsidRPr="00777326">
        <w:rPr>
          <w:rFonts w:cs="Arial"/>
          <w:iCs/>
        </w:rPr>
        <w:t xml:space="preserve"> </w:t>
      </w:r>
    </w:p>
    <w:p w14:paraId="08E1B008" w14:textId="390E5FF0" w:rsidR="00106DA8" w:rsidRPr="00777326" w:rsidRDefault="002A1B5D" w:rsidP="00106DA8">
      <w:pPr>
        <w:spacing w:line="240" w:lineRule="auto"/>
      </w:pPr>
      <w:r w:rsidRPr="00777326">
        <w:rPr>
          <w:rFonts w:cs="Arial"/>
          <w:iCs/>
        </w:rPr>
        <w:t>States can encourage connections between older adults and adults with disabilities and Community Health Centers in underserved areas.</w:t>
      </w:r>
      <w:r w:rsidR="009259C7" w:rsidRPr="00777326">
        <w:rPr>
          <w:rFonts w:cs="Arial"/>
          <w:iCs/>
        </w:rPr>
        <w:t xml:space="preserve"> </w:t>
      </w:r>
      <w:r w:rsidR="0040114C" w:rsidRPr="00777326">
        <w:rPr>
          <w:rFonts w:cs="Arial"/>
          <w:iCs/>
        </w:rPr>
        <w:t xml:space="preserve"> </w:t>
      </w:r>
      <w:r w:rsidR="00263285" w:rsidRPr="00777326">
        <w:rPr>
          <w:rFonts w:cs="Arial"/>
          <w:iCs/>
        </w:rPr>
        <w:t xml:space="preserve">This is an important link because, as stated above, these </w:t>
      </w:r>
      <w:r w:rsidR="0040114C" w:rsidRPr="00777326">
        <w:rPr>
          <w:rFonts w:cs="Arial"/>
          <w:iCs/>
        </w:rPr>
        <w:t>Centers must provide preventive dental services to adults, regardless of ability to pay or presence of disability</w:t>
      </w:r>
      <w:r w:rsidR="00C219E2" w:rsidRPr="00777326">
        <w:rPr>
          <w:rFonts w:cs="Arial"/>
          <w:iCs/>
        </w:rPr>
        <w:t>,</w:t>
      </w:r>
      <w:r w:rsidRPr="00777326">
        <w:rPr>
          <w:rFonts w:cs="Arial"/>
          <w:iCs/>
        </w:rPr>
        <w:t xml:space="preserve"> on a sliding fee scale basis</w:t>
      </w:r>
      <w:r w:rsidR="0040114C" w:rsidRPr="00777326">
        <w:rPr>
          <w:rFonts w:cs="Arial"/>
          <w:iCs/>
        </w:rPr>
        <w:t xml:space="preserve"> (</w:t>
      </w:r>
      <w:proofErr w:type="spellStart"/>
      <w:r w:rsidR="0040114C" w:rsidRPr="00777326">
        <w:rPr>
          <w:rFonts w:cs="Arial"/>
          <w:iCs/>
        </w:rPr>
        <w:t>Yalowich</w:t>
      </w:r>
      <w:proofErr w:type="spellEnd"/>
      <w:r w:rsidR="0040114C" w:rsidRPr="00777326">
        <w:rPr>
          <w:rFonts w:cs="Arial"/>
          <w:iCs/>
        </w:rPr>
        <w:t xml:space="preserve"> and Corso, 2015)</w:t>
      </w:r>
      <w:r w:rsidRPr="00777326">
        <w:rPr>
          <w:rFonts w:cs="Arial"/>
          <w:iCs/>
        </w:rPr>
        <w:t xml:space="preserve">. </w:t>
      </w:r>
      <w:r w:rsidR="00263285" w:rsidRPr="00777326">
        <w:rPr>
          <w:rFonts w:cs="Arial"/>
          <w:iCs/>
        </w:rPr>
        <w:t xml:space="preserve"> Health C</w:t>
      </w:r>
      <w:r w:rsidR="00106DA8" w:rsidRPr="00777326">
        <w:rPr>
          <w:rFonts w:cs="Arial"/>
          <w:iCs/>
        </w:rPr>
        <w:t>enters</w:t>
      </w:r>
      <w:r w:rsidR="0040114C" w:rsidRPr="00777326">
        <w:rPr>
          <w:rFonts w:cs="Arial"/>
          <w:iCs/>
        </w:rPr>
        <w:t xml:space="preserve"> also </w:t>
      </w:r>
      <w:r w:rsidR="00106DA8" w:rsidRPr="00777326">
        <w:rPr>
          <w:rFonts w:cs="Arial"/>
          <w:iCs/>
        </w:rPr>
        <w:t>can receive Medicare and Medicaid reimbursement for providi</w:t>
      </w:r>
      <w:r w:rsidR="00811168" w:rsidRPr="00777326">
        <w:rPr>
          <w:rFonts w:cs="Arial"/>
          <w:iCs/>
        </w:rPr>
        <w:t>ng services to these populations</w:t>
      </w:r>
      <w:r w:rsidR="0040114C" w:rsidRPr="00777326">
        <w:rPr>
          <w:rFonts w:cs="Arial"/>
          <w:iCs/>
        </w:rPr>
        <w:t xml:space="preserve">. </w:t>
      </w:r>
      <w:r w:rsidR="00106DA8" w:rsidRPr="00777326">
        <w:t xml:space="preserve"> </w:t>
      </w:r>
    </w:p>
    <w:p w14:paraId="552ACC7E" w14:textId="4E24A223" w:rsidR="00946041" w:rsidRPr="00777326" w:rsidRDefault="0078477D" w:rsidP="0040114C">
      <w:pPr>
        <w:spacing w:line="240" w:lineRule="auto"/>
        <w:rPr>
          <w:rFonts w:cs="Arial"/>
          <w:bCs/>
          <w:iCs/>
        </w:rPr>
      </w:pPr>
      <w:r w:rsidRPr="00777326">
        <w:rPr>
          <w:rFonts w:cs="Arial"/>
          <w:iCs/>
        </w:rPr>
        <w:lastRenderedPageBreak/>
        <w:t>S</w:t>
      </w:r>
      <w:r w:rsidR="002A1B5D" w:rsidRPr="00777326">
        <w:rPr>
          <w:rFonts w:cs="Arial"/>
          <w:iCs/>
        </w:rPr>
        <w:t>tates</w:t>
      </w:r>
      <w:r w:rsidR="0040114C" w:rsidRPr="00777326">
        <w:rPr>
          <w:rFonts w:cs="Arial"/>
          <w:iCs/>
        </w:rPr>
        <w:t xml:space="preserve"> can encourage their </w:t>
      </w:r>
      <w:r w:rsidR="00BF4FD4" w:rsidRPr="00777326">
        <w:rPr>
          <w:rFonts w:cs="Arial"/>
          <w:bCs/>
          <w:iCs/>
        </w:rPr>
        <w:t xml:space="preserve">Aging and </w:t>
      </w:r>
      <w:r w:rsidR="005B2217" w:rsidRPr="00777326">
        <w:rPr>
          <w:rFonts w:cs="Arial"/>
          <w:bCs/>
          <w:iCs/>
        </w:rPr>
        <w:t xml:space="preserve">Public health networks </w:t>
      </w:r>
      <w:r w:rsidR="00BF4FD4" w:rsidRPr="00777326">
        <w:rPr>
          <w:rFonts w:cs="Arial"/>
          <w:bCs/>
          <w:iCs/>
        </w:rPr>
        <w:t xml:space="preserve">to </w:t>
      </w:r>
      <w:r w:rsidR="005B2217" w:rsidRPr="00777326">
        <w:rPr>
          <w:rFonts w:cs="Arial"/>
          <w:bCs/>
          <w:iCs/>
        </w:rPr>
        <w:t xml:space="preserve">coordinate </w:t>
      </w:r>
      <w:r w:rsidR="00BF4FD4" w:rsidRPr="00777326">
        <w:rPr>
          <w:rFonts w:cs="Arial"/>
          <w:bCs/>
          <w:iCs/>
        </w:rPr>
        <w:t>and expand delivery of p</w:t>
      </w:r>
      <w:r w:rsidR="005B2217" w:rsidRPr="00777326">
        <w:rPr>
          <w:rFonts w:cs="Arial"/>
          <w:bCs/>
          <w:iCs/>
        </w:rPr>
        <w:t>reventive</w:t>
      </w:r>
      <w:r w:rsidR="00946041" w:rsidRPr="00777326">
        <w:rPr>
          <w:rFonts w:cs="Arial"/>
          <w:bCs/>
          <w:iCs/>
        </w:rPr>
        <w:t>,</w:t>
      </w:r>
      <w:r w:rsidR="005B2217" w:rsidRPr="00777326">
        <w:rPr>
          <w:rFonts w:cs="Arial"/>
          <w:bCs/>
          <w:iCs/>
        </w:rPr>
        <w:t xml:space="preserve"> education</w:t>
      </w:r>
      <w:r w:rsidR="00946041" w:rsidRPr="00777326">
        <w:rPr>
          <w:rFonts w:cs="Arial"/>
          <w:bCs/>
          <w:iCs/>
        </w:rPr>
        <w:t>,</w:t>
      </w:r>
      <w:r w:rsidR="005B2217" w:rsidRPr="00777326">
        <w:rPr>
          <w:rFonts w:cs="Arial"/>
          <w:bCs/>
          <w:iCs/>
        </w:rPr>
        <w:t xml:space="preserve"> and </w:t>
      </w:r>
      <w:r w:rsidR="00E1756A" w:rsidRPr="00777326">
        <w:rPr>
          <w:rFonts w:cs="Arial"/>
          <w:bCs/>
          <w:iCs/>
        </w:rPr>
        <w:t>oral health</w:t>
      </w:r>
      <w:r w:rsidR="005B2217" w:rsidRPr="00777326">
        <w:rPr>
          <w:rFonts w:cs="Arial"/>
          <w:bCs/>
          <w:iCs/>
        </w:rPr>
        <w:t xml:space="preserve"> </w:t>
      </w:r>
      <w:r w:rsidR="00BF4FD4" w:rsidRPr="00777326">
        <w:rPr>
          <w:rFonts w:cs="Arial"/>
          <w:bCs/>
          <w:iCs/>
        </w:rPr>
        <w:t>to older adults and adults with disabilities</w:t>
      </w:r>
      <w:r w:rsidR="00946041" w:rsidRPr="00777326">
        <w:rPr>
          <w:rFonts w:cs="Arial"/>
          <w:bCs/>
          <w:iCs/>
        </w:rPr>
        <w:t xml:space="preserve"> (Griffin </w:t>
      </w:r>
      <w:r w:rsidR="00F40026" w:rsidRPr="00777326">
        <w:rPr>
          <w:rFonts w:cs="Arial"/>
          <w:bCs/>
          <w:iCs/>
        </w:rPr>
        <w:t>et al.,</w:t>
      </w:r>
      <w:r w:rsidR="00946041" w:rsidRPr="00777326">
        <w:rPr>
          <w:rFonts w:cs="Arial"/>
          <w:bCs/>
          <w:iCs/>
        </w:rPr>
        <w:t xml:space="preserve"> 2012).</w:t>
      </w:r>
      <w:r w:rsidR="002A1B5D" w:rsidRPr="00777326">
        <w:rPr>
          <w:rFonts w:cs="Arial"/>
          <w:bCs/>
          <w:iCs/>
        </w:rPr>
        <w:t xml:space="preserve"> </w:t>
      </w:r>
      <w:r w:rsidR="00263285" w:rsidRPr="00777326">
        <w:rPr>
          <w:rFonts w:cs="Arial"/>
          <w:bCs/>
          <w:iCs/>
        </w:rPr>
        <w:t xml:space="preserve"> </w:t>
      </w:r>
      <w:r w:rsidR="002A1B5D" w:rsidRPr="00777326">
        <w:rPr>
          <w:rFonts w:cs="Arial"/>
          <w:bCs/>
          <w:iCs/>
        </w:rPr>
        <w:t xml:space="preserve">Although funding amounts for such efforts are limited, the Networks have tremendous reach in their states and communities. </w:t>
      </w:r>
    </w:p>
    <w:p w14:paraId="65F3DBD8" w14:textId="7C15EDBC" w:rsidR="00946041" w:rsidRPr="008E42C6" w:rsidRDefault="00946041" w:rsidP="008E42C6">
      <w:pPr>
        <w:pStyle w:val="Heading1"/>
        <w:numPr>
          <w:ilvl w:val="0"/>
          <w:numId w:val="19"/>
        </w:numPr>
        <w:rPr>
          <w:rFonts w:ascii="Calibri" w:hAnsi="Calibri"/>
          <w:color w:val="auto"/>
          <w:sz w:val="22"/>
          <w:szCs w:val="22"/>
        </w:rPr>
      </w:pPr>
      <w:r w:rsidRPr="008E42C6">
        <w:rPr>
          <w:rFonts w:ascii="Calibri" w:hAnsi="Calibri"/>
          <w:color w:val="auto"/>
          <w:sz w:val="22"/>
          <w:szCs w:val="22"/>
        </w:rPr>
        <w:t xml:space="preserve">State Options for </w:t>
      </w:r>
      <w:r w:rsidR="00D30A34">
        <w:rPr>
          <w:rFonts w:ascii="Calibri" w:hAnsi="Calibri"/>
          <w:color w:val="auto"/>
          <w:sz w:val="22"/>
          <w:szCs w:val="22"/>
        </w:rPr>
        <w:t xml:space="preserve">Expanding </w:t>
      </w:r>
      <w:r w:rsidRPr="008E42C6">
        <w:rPr>
          <w:rFonts w:ascii="Calibri" w:hAnsi="Calibri"/>
          <w:color w:val="auto"/>
          <w:sz w:val="22"/>
          <w:szCs w:val="22"/>
        </w:rPr>
        <w:t xml:space="preserve">Oral Health Services for Adults </w:t>
      </w:r>
      <w:r w:rsidR="00D30A34">
        <w:rPr>
          <w:rFonts w:ascii="Calibri" w:hAnsi="Calibri"/>
          <w:color w:val="auto"/>
          <w:sz w:val="22"/>
          <w:szCs w:val="22"/>
        </w:rPr>
        <w:t xml:space="preserve">who Are Older or Have </w:t>
      </w:r>
      <w:r w:rsidRPr="008E42C6">
        <w:rPr>
          <w:rFonts w:ascii="Calibri" w:hAnsi="Calibri"/>
          <w:color w:val="auto"/>
          <w:sz w:val="22"/>
          <w:szCs w:val="22"/>
        </w:rPr>
        <w:t>Disabilities</w:t>
      </w:r>
      <w:r w:rsidR="00D30A34">
        <w:rPr>
          <w:rFonts w:ascii="Calibri" w:hAnsi="Calibri"/>
          <w:color w:val="auto"/>
          <w:sz w:val="22"/>
          <w:szCs w:val="22"/>
        </w:rPr>
        <w:t xml:space="preserve"> </w:t>
      </w:r>
    </w:p>
    <w:p w14:paraId="2E23AF08" w14:textId="42B0E163" w:rsidR="00946041" w:rsidRPr="00777326" w:rsidRDefault="00811168" w:rsidP="00946041">
      <w:pPr>
        <w:spacing w:line="240" w:lineRule="auto"/>
        <w:rPr>
          <w:rFonts w:cs="Arial"/>
          <w:bCs/>
          <w:iCs/>
        </w:rPr>
      </w:pPr>
      <w:r w:rsidRPr="00777326">
        <w:rPr>
          <w:rFonts w:cs="Arial"/>
          <w:bCs/>
          <w:iCs/>
        </w:rPr>
        <w:t>Funding is not the only option</w:t>
      </w:r>
      <w:r w:rsidR="002A1B5D" w:rsidRPr="00777326">
        <w:rPr>
          <w:rFonts w:cs="Arial"/>
          <w:bCs/>
          <w:iCs/>
        </w:rPr>
        <w:t xml:space="preserve"> states have.  </w:t>
      </w:r>
      <w:r w:rsidR="00946041" w:rsidRPr="00777326">
        <w:rPr>
          <w:rFonts w:cs="Arial"/>
          <w:bCs/>
          <w:iCs/>
        </w:rPr>
        <w:t>Federal agencies and national workgroups have long recognized the relationship between oral health and good overall health</w:t>
      </w:r>
      <w:r w:rsidR="000547E0" w:rsidRPr="00777326">
        <w:rPr>
          <w:rFonts w:cs="Arial"/>
          <w:bCs/>
          <w:iCs/>
        </w:rPr>
        <w:t xml:space="preserve"> and have published blue print</w:t>
      </w:r>
      <w:r w:rsidRPr="00777326">
        <w:rPr>
          <w:rFonts w:cs="Arial"/>
          <w:bCs/>
          <w:iCs/>
        </w:rPr>
        <w:t>s for improving it</w:t>
      </w:r>
      <w:r w:rsidR="00946041" w:rsidRPr="00777326">
        <w:rPr>
          <w:rFonts w:cs="Arial"/>
          <w:bCs/>
          <w:iCs/>
        </w:rPr>
        <w:t>.</w:t>
      </w:r>
      <w:r w:rsidR="00263285" w:rsidRPr="00777326">
        <w:rPr>
          <w:rFonts w:cs="Arial"/>
          <w:bCs/>
          <w:iCs/>
        </w:rPr>
        <w:t xml:space="preserve"> </w:t>
      </w:r>
      <w:r w:rsidR="00946041" w:rsidRPr="00777326">
        <w:rPr>
          <w:rFonts w:cs="Arial"/>
          <w:bCs/>
          <w:iCs/>
        </w:rPr>
        <w:t xml:space="preserve"> HRSA asked the Institute of Medicine and the National Research Council to convene experts to address access to oral health care in the United States.  In 2011, these groups issued reports with recommendations about oral health.</w:t>
      </w:r>
      <w:r w:rsidR="00946041" w:rsidRPr="00777326">
        <w:rPr>
          <w:rFonts w:cs="Arial"/>
          <w:bCs/>
          <w:iCs/>
          <w:vertAlign w:val="superscript"/>
        </w:rPr>
        <w:footnoteReference w:id="5"/>
      </w:r>
      <w:r w:rsidR="00946041" w:rsidRPr="00777326">
        <w:rPr>
          <w:rFonts w:cs="Arial"/>
          <w:bCs/>
          <w:iCs/>
        </w:rPr>
        <w:t xml:space="preserve">  Among the recommendations’ basic approaches are to integrate oral health into primary health care practice, expand the scope of practice among </w:t>
      </w:r>
      <w:r w:rsidR="0028480A" w:rsidRPr="00777326">
        <w:rPr>
          <w:rFonts w:cs="Arial"/>
          <w:bCs/>
          <w:iCs/>
        </w:rPr>
        <w:t>professionals involved in oral health care, and promote related</w:t>
      </w:r>
      <w:r w:rsidR="00946041" w:rsidRPr="00777326">
        <w:rPr>
          <w:rFonts w:cs="Arial"/>
          <w:bCs/>
          <w:iCs/>
        </w:rPr>
        <w:t xml:space="preserve"> coverage.  HRSA recommends the following in response to the IOM reports: increased integration of oral health into primary care health practices, enhanced adoption of clinical oral health competencies, and mo</w:t>
      </w:r>
      <w:r w:rsidR="000547E0" w:rsidRPr="00777326">
        <w:rPr>
          <w:rFonts w:cs="Arial"/>
          <w:bCs/>
          <w:iCs/>
        </w:rPr>
        <w:t>dified payment to encourage these changes</w:t>
      </w:r>
      <w:r w:rsidR="00946041" w:rsidRPr="00777326">
        <w:rPr>
          <w:rFonts w:cs="Arial"/>
          <w:bCs/>
          <w:iCs/>
        </w:rPr>
        <w:t xml:space="preserve"> (DHHS, 2014)</w:t>
      </w:r>
      <w:r w:rsidR="00DD2FE1" w:rsidRPr="00777326">
        <w:rPr>
          <w:rFonts w:cs="Arial"/>
          <w:bCs/>
          <w:iCs/>
        </w:rPr>
        <w:t>.</w:t>
      </w:r>
    </w:p>
    <w:p w14:paraId="29FE982E" w14:textId="663D10C3" w:rsidR="00946041" w:rsidRPr="00777326" w:rsidRDefault="00946041" w:rsidP="00861520">
      <w:pPr>
        <w:spacing w:line="240" w:lineRule="auto"/>
        <w:rPr>
          <w:rFonts w:cs="Arial"/>
          <w:iCs/>
        </w:rPr>
      </w:pPr>
      <w:r w:rsidRPr="00777326">
        <w:rPr>
          <w:rFonts w:cs="Arial"/>
          <w:iCs/>
        </w:rPr>
        <w:t>Building on the IOM</w:t>
      </w:r>
      <w:r w:rsidR="00A51E46" w:rsidRPr="00777326">
        <w:rPr>
          <w:rFonts w:cs="Arial"/>
          <w:iCs/>
        </w:rPr>
        <w:t>’s</w:t>
      </w:r>
      <w:r w:rsidRPr="00777326">
        <w:rPr>
          <w:rFonts w:cs="Arial"/>
          <w:iCs/>
        </w:rPr>
        <w:t xml:space="preserve"> report</w:t>
      </w:r>
      <w:r w:rsidR="00861520" w:rsidRPr="00777326">
        <w:rPr>
          <w:rFonts w:cs="Arial"/>
          <w:iCs/>
        </w:rPr>
        <w:t>s</w:t>
      </w:r>
      <w:r w:rsidRPr="00777326">
        <w:rPr>
          <w:rFonts w:cs="Arial"/>
          <w:iCs/>
        </w:rPr>
        <w:t>, a broad group of dental and primary health care providers propose to integrate oral health care int</w:t>
      </w:r>
      <w:r w:rsidR="0013256A" w:rsidRPr="00777326">
        <w:rPr>
          <w:rFonts w:cs="Arial"/>
          <w:iCs/>
        </w:rPr>
        <w:t xml:space="preserve">o primary health care settings (Hummel </w:t>
      </w:r>
      <w:r w:rsidR="00F40026" w:rsidRPr="00777326">
        <w:rPr>
          <w:rFonts w:cs="Arial"/>
          <w:iCs/>
        </w:rPr>
        <w:t>et al.,</w:t>
      </w:r>
      <w:r w:rsidR="0013256A" w:rsidRPr="00777326">
        <w:rPr>
          <w:rFonts w:cs="Arial"/>
          <w:iCs/>
        </w:rPr>
        <w:t xml:space="preserve"> 2015).</w:t>
      </w:r>
      <w:r w:rsidRPr="00777326">
        <w:rPr>
          <w:rFonts w:cs="Arial"/>
          <w:iCs/>
        </w:rPr>
        <w:t xml:space="preserve"> Th</w:t>
      </w:r>
      <w:r w:rsidR="00DD2FE1" w:rsidRPr="00777326">
        <w:rPr>
          <w:rFonts w:cs="Arial"/>
          <w:iCs/>
        </w:rPr>
        <w:t>is group recommends that providers</w:t>
      </w:r>
      <w:r w:rsidRPr="00777326">
        <w:rPr>
          <w:rFonts w:cs="Arial"/>
          <w:iCs/>
        </w:rPr>
        <w:t xml:space="preserve">: ask </w:t>
      </w:r>
      <w:r w:rsidR="007A3632" w:rsidRPr="00777326">
        <w:rPr>
          <w:rFonts w:cs="Arial"/>
          <w:iCs/>
        </w:rPr>
        <w:t xml:space="preserve">their patients </w:t>
      </w:r>
      <w:r w:rsidRPr="00777326">
        <w:rPr>
          <w:rFonts w:cs="Arial"/>
          <w:iCs/>
        </w:rPr>
        <w:t xml:space="preserve">about oral health risk factors, look for signs of oral health risk or active disease, decide on an appropriate response, offer preventive services or referrals, and document the interaction with patients.  </w:t>
      </w:r>
    </w:p>
    <w:p w14:paraId="2720E11F" w14:textId="067A953E" w:rsidR="00946041" w:rsidRPr="00777326" w:rsidRDefault="00946041" w:rsidP="00861520">
      <w:pPr>
        <w:spacing w:line="240" w:lineRule="auto"/>
        <w:rPr>
          <w:rFonts w:cs="Arial"/>
          <w:bCs/>
          <w:iCs/>
        </w:rPr>
      </w:pPr>
      <w:r w:rsidRPr="00777326">
        <w:rPr>
          <w:rFonts w:cs="Arial"/>
          <w:bCs/>
          <w:iCs/>
        </w:rPr>
        <w:t>Researchers’ recomm</w:t>
      </w:r>
      <w:r w:rsidR="00811168" w:rsidRPr="00777326">
        <w:rPr>
          <w:rFonts w:cs="Arial"/>
          <w:bCs/>
          <w:iCs/>
        </w:rPr>
        <w:t>endations to improve dental</w:t>
      </w:r>
      <w:r w:rsidRPr="00777326">
        <w:rPr>
          <w:rFonts w:cs="Arial"/>
          <w:bCs/>
          <w:iCs/>
        </w:rPr>
        <w:t xml:space="preserve"> care for older adults are to incorporate these services into general health care, engage in community education programs, and provide a safety net for </w:t>
      </w:r>
      <w:r w:rsidR="00811168" w:rsidRPr="00777326">
        <w:rPr>
          <w:rFonts w:cs="Arial"/>
          <w:bCs/>
          <w:iCs/>
        </w:rPr>
        <w:t>prevention services</w:t>
      </w:r>
      <w:r w:rsidR="0013256A" w:rsidRPr="00777326">
        <w:rPr>
          <w:rFonts w:cs="Arial"/>
          <w:bCs/>
          <w:iCs/>
        </w:rPr>
        <w:t xml:space="preserve"> </w:t>
      </w:r>
      <w:r w:rsidRPr="00777326">
        <w:rPr>
          <w:rFonts w:cs="Arial"/>
          <w:bCs/>
          <w:iCs/>
        </w:rPr>
        <w:t xml:space="preserve">(Van der </w:t>
      </w:r>
      <w:proofErr w:type="spellStart"/>
      <w:r w:rsidRPr="00777326">
        <w:rPr>
          <w:rFonts w:cs="Arial"/>
          <w:bCs/>
          <w:iCs/>
        </w:rPr>
        <w:t>Putten</w:t>
      </w:r>
      <w:proofErr w:type="spellEnd"/>
      <w:r w:rsidRPr="00777326">
        <w:rPr>
          <w:rFonts w:cs="Arial"/>
          <w:bCs/>
          <w:iCs/>
        </w:rPr>
        <w:t xml:space="preserve"> </w:t>
      </w:r>
      <w:r w:rsidR="00F40026" w:rsidRPr="00777326">
        <w:rPr>
          <w:rFonts w:cs="Arial"/>
          <w:bCs/>
          <w:iCs/>
        </w:rPr>
        <w:t>et al.,</w:t>
      </w:r>
      <w:r w:rsidRPr="00777326">
        <w:rPr>
          <w:rFonts w:cs="Arial"/>
          <w:bCs/>
          <w:iCs/>
        </w:rPr>
        <w:t xml:space="preserve"> 2014)</w:t>
      </w:r>
      <w:r w:rsidR="0013256A" w:rsidRPr="00777326">
        <w:rPr>
          <w:rFonts w:cs="Arial"/>
          <w:bCs/>
          <w:iCs/>
        </w:rPr>
        <w:t>.</w:t>
      </w:r>
      <w:r w:rsidRPr="00777326">
        <w:rPr>
          <w:rFonts w:cs="Arial"/>
          <w:bCs/>
          <w:iCs/>
        </w:rPr>
        <w:t xml:space="preserve"> </w:t>
      </w:r>
    </w:p>
    <w:p w14:paraId="336935E2" w14:textId="77777777" w:rsidR="00946041" w:rsidRPr="00777326" w:rsidRDefault="00946041" w:rsidP="00861520">
      <w:pPr>
        <w:spacing w:line="240" w:lineRule="auto"/>
        <w:rPr>
          <w:rFonts w:cs="Arial"/>
          <w:bCs/>
          <w:iCs/>
        </w:rPr>
      </w:pPr>
      <w:r w:rsidRPr="00777326">
        <w:rPr>
          <w:rFonts w:cs="Arial"/>
          <w:bCs/>
          <w:iCs/>
        </w:rPr>
        <w:t>States can promote integration of oral health care into primary care s</w:t>
      </w:r>
      <w:r w:rsidR="00DD2FE1" w:rsidRPr="00777326">
        <w:rPr>
          <w:rFonts w:cs="Arial"/>
          <w:bCs/>
          <w:iCs/>
        </w:rPr>
        <w:t xml:space="preserve">ettings and increase access to use these recommendations in </w:t>
      </w:r>
      <w:r w:rsidRPr="00777326">
        <w:rPr>
          <w:rFonts w:cs="Arial"/>
          <w:bCs/>
          <w:iCs/>
        </w:rPr>
        <w:t xml:space="preserve">innovative ways, including: </w:t>
      </w:r>
    </w:p>
    <w:p w14:paraId="6644EDD9" w14:textId="77777777" w:rsidR="00946041" w:rsidRPr="00777326" w:rsidRDefault="00946041" w:rsidP="00861520">
      <w:pPr>
        <w:numPr>
          <w:ilvl w:val="0"/>
          <w:numId w:val="1"/>
        </w:numPr>
        <w:spacing w:line="240" w:lineRule="auto"/>
        <w:contextualSpacing/>
        <w:rPr>
          <w:rFonts w:cs="Arial"/>
          <w:iCs/>
        </w:rPr>
      </w:pPr>
      <w:r w:rsidRPr="00777326">
        <w:rPr>
          <w:rFonts w:cs="Arial"/>
          <w:iCs/>
        </w:rPr>
        <w:t xml:space="preserve">Encouraging primary care health practices to screen older adults and adults with disabilities for oral health problems and refer them to dentists and other dental practitioners </w:t>
      </w:r>
      <w:r w:rsidR="00283445" w:rsidRPr="00777326">
        <w:rPr>
          <w:rFonts w:cs="Arial"/>
          <w:iCs/>
        </w:rPr>
        <w:t xml:space="preserve">they can access </w:t>
      </w:r>
      <w:r w:rsidRPr="00777326">
        <w:rPr>
          <w:rFonts w:cs="Arial"/>
          <w:iCs/>
        </w:rPr>
        <w:t>when necessary.</w:t>
      </w:r>
    </w:p>
    <w:p w14:paraId="7D659A5C" w14:textId="79487A49" w:rsidR="00946041" w:rsidRPr="00777326" w:rsidRDefault="00946041" w:rsidP="00861520">
      <w:pPr>
        <w:numPr>
          <w:ilvl w:val="0"/>
          <w:numId w:val="1"/>
        </w:numPr>
        <w:spacing w:line="240" w:lineRule="auto"/>
        <w:contextualSpacing/>
        <w:rPr>
          <w:rFonts w:cs="Arial"/>
          <w:iCs/>
        </w:rPr>
      </w:pPr>
      <w:r w:rsidRPr="00777326">
        <w:rPr>
          <w:rFonts w:cs="Arial"/>
          <w:iCs/>
        </w:rPr>
        <w:t>Encouraging hospitals to develop formal referral relationships with safety net dental providers (</w:t>
      </w:r>
      <w:proofErr w:type="spellStart"/>
      <w:r w:rsidRPr="00777326">
        <w:rPr>
          <w:rFonts w:cs="Arial"/>
          <w:iCs/>
        </w:rPr>
        <w:t>Allareddy</w:t>
      </w:r>
      <w:proofErr w:type="spellEnd"/>
      <w:r w:rsidRPr="00777326">
        <w:rPr>
          <w:rFonts w:cs="Arial"/>
          <w:iCs/>
        </w:rPr>
        <w:t xml:space="preserve"> </w:t>
      </w:r>
      <w:r w:rsidR="00F40026" w:rsidRPr="00777326">
        <w:rPr>
          <w:rFonts w:cs="Arial"/>
          <w:iCs/>
        </w:rPr>
        <w:t>et al.,</w:t>
      </w:r>
      <w:r w:rsidRPr="00777326">
        <w:rPr>
          <w:rFonts w:cs="Arial"/>
          <w:iCs/>
        </w:rPr>
        <w:t xml:space="preserve"> 2014)</w:t>
      </w:r>
      <w:r w:rsidR="005874A2" w:rsidRPr="00777326">
        <w:rPr>
          <w:rFonts w:cs="Arial"/>
          <w:iCs/>
        </w:rPr>
        <w:t xml:space="preserve">. </w:t>
      </w:r>
      <w:r w:rsidRPr="00777326">
        <w:rPr>
          <w:rFonts w:cs="Arial"/>
          <w:iCs/>
        </w:rPr>
        <w:t xml:space="preserve"> Referral networks can help older adults and adults with disabilities get the preventive and treatment services that they need and hospital emergency departments generally do not provide.</w:t>
      </w:r>
      <w:r w:rsidR="00C53247" w:rsidRPr="00777326">
        <w:rPr>
          <w:rFonts w:cs="Arial"/>
          <w:iCs/>
        </w:rPr>
        <w:t xml:space="preserve"> </w:t>
      </w:r>
      <w:r w:rsidR="00861520" w:rsidRPr="00777326">
        <w:rPr>
          <w:rFonts w:cs="Arial"/>
          <w:iCs/>
        </w:rPr>
        <w:t xml:space="preserve">For example, the </w:t>
      </w:r>
      <w:r w:rsidR="00C53247" w:rsidRPr="00777326">
        <w:rPr>
          <w:rFonts w:cs="Arial"/>
          <w:iCs/>
        </w:rPr>
        <w:t>University of Maryland’</w:t>
      </w:r>
      <w:r w:rsidR="0028480A" w:rsidRPr="00777326">
        <w:rPr>
          <w:rFonts w:cs="Arial"/>
          <w:iCs/>
        </w:rPr>
        <w:t xml:space="preserve">s </w:t>
      </w:r>
      <w:r w:rsidR="00C53247" w:rsidRPr="00777326">
        <w:rPr>
          <w:rFonts w:cs="Arial"/>
          <w:iCs/>
        </w:rPr>
        <w:t>School</w:t>
      </w:r>
      <w:r w:rsidR="0028480A" w:rsidRPr="00777326">
        <w:rPr>
          <w:rFonts w:cs="Arial"/>
          <w:iCs/>
        </w:rPr>
        <w:t xml:space="preserve"> of Dentistry</w:t>
      </w:r>
      <w:r w:rsidR="00C53247" w:rsidRPr="00777326">
        <w:rPr>
          <w:rFonts w:cs="Arial"/>
          <w:iCs/>
        </w:rPr>
        <w:t xml:space="preserve"> h</w:t>
      </w:r>
      <w:r w:rsidR="00861520" w:rsidRPr="00777326">
        <w:rPr>
          <w:rFonts w:cs="Arial"/>
          <w:iCs/>
        </w:rPr>
        <w:t>as an</w:t>
      </w:r>
      <w:r w:rsidR="00C53247" w:rsidRPr="00777326">
        <w:rPr>
          <w:rFonts w:cs="Arial"/>
          <w:iCs/>
        </w:rPr>
        <w:t xml:space="preserve"> arrangement with a local hospital, where the</w:t>
      </w:r>
      <w:r w:rsidR="0028480A" w:rsidRPr="00777326">
        <w:rPr>
          <w:rFonts w:cs="Arial"/>
          <w:iCs/>
        </w:rPr>
        <w:t xml:space="preserve"> hospital refers people to the S</w:t>
      </w:r>
      <w:r w:rsidR="00C53247" w:rsidRPr="00777326">
        <w:rPr>
          <w:rFonts w:cs="Arial"/>
          <w:iCs/>
        </w:rPr>
        <w:t xml:space="preserve">chool when they have acute problems, such as the need for a wisdom tooth extraction (Cohn, 2016) </w:t>
      </w:r>
    </w:p>
    <w:p w14:paraId="4A87025F" w14:textId="0EC2BAB4" w:rsidR="00946041" w:rsidRPr="00777326" w:rsidRDefault="00946041" w:rsidP="00946041">
      <w:pPr>
        <w:numPr>
          <w:ilvl w:val="0"/>
          <w:numId w:val="1"/>
        </w:numPr>
        <w:spacing w:line="240" w:lineRule="auto"/>
        <w:contextualSpacing/>
        <w:rPr>
          <w:rFonts w:cs="Arial"/>
          <w:iCs/>
        </w:rPr>
      </w:pPr>
      <w:r w:rsidRPr="00777326">
        <w:rPr>
          <w:rFonts w:cs="Arial"/>
          <w:iCs/>
        </w:rPr>
        <w:t xml:space="preserve">Extending </w:t>
      </w:r>
      <w:r w:rsidR="00E1756A" w:rsidRPr="00777326">
        <w:rPr>
          <w:rFonts w:cs="Arial"/>
          <w:iCs/>
        </w:rPr>
        <w:t>oral health</w:t>
      </w:r>
      <w:r w:rsidRPr="00777326">
        <w:rPr>
          <w:rFonts w:cs="Arial"/>
          <w:iCs/>
        </w:rPr>
        <w:t xml:space="preserve"> through the use of “dental therapists,” whose scope of practice varies but generally includes preventive and “simple” restorative services like filling cavities and extraction of primary </w:t>
      </w:r>
      <w:r w:rsidR="00530265" w:rsidRPr="00777326">
        <w:rPr>
          <w:rFonts w:cs="Arial"/>
          <w:iCs/>
        </w:rPr>
        <w:t>teeth. Indian Country in Alaska and the state of Minnesota have</w:t>
      </w:r>
      <w:r w:rsidR="005874A2" w:rsidRPr="00777326">
        <w:rPr>
          <w:rFonts w:cs="Arial"/>
          <w:iCs/>
        </w:rPr>
        <w:t xml:space="preserve"> such arrangements </w:t>
      </w:r>
      <w:r w:rsidR="00530265" w:rsidRPr="00777326">
        <w:rPr>
          <w:rFonts w:cs="Arial"/>
          <w:iCs/>
        </w:rPr>
        <w:t>(</w:t>
      </w:r>
      <w:proofErr w:type="spellStart"/>
      <w:r w:rsidR="00530265" w:rsidRPr="00777326">
        <w:rPr>
          <w:rFonts w:cs="Arial"/>
          <w:iCs/>
        </w:rPr>
        <w:t>Yalowich</w:t>
      </w:r>
      <w:proofErr w:type="spellEnd"/>
      <w:r w:rsidR="00530265" w:rsidRPr="00777326">
        <w:rPr>
          <w:rFonts w:cs="Arial"/>
          <w:iCs/>
        </w:rPr>
        <w:t xml:space="preserve"> and Corso, 2015)</w:t>
      </w:r>
      <w:r w:rsidR="005874A2" w:rsidRPr="00777326">
        <w:rPr>
          <w:rFonts w:cs="Arial"/>
          <w:bCs/>
          <w:iCs/>
        </w:rPr>
        <w:t xml:space="preserve">. </w:t>
      </w:r>
      <w:r w:rsidRPr="00777326">
        <w:rPr>
          <w:rFonts w:cs="Arial"/>
          <w:bCs/>
          <w:iCs/>
        </w:rPr>
        <w:t xml:space="preserve"> Again, this type of practitioner can serve people </w:t>
      </w:r>
      <w:r w:rsidR="00751B39" w:rsidRPr="00777326">
        <w:rPr>
          <w:rFonts w:cs="Arial"/>
          <w:bCs/>
          <w:iCs/>
        </w:rPr>
        <w:t xml:space="preserve">otherwise </w:t>
      </w:r>
      <w:r w:rsidR="00AC3ECA" w:rsidRPr="00777326">
        <w:rPr>
          <w:rFonts w:cs="Arial"/>
          <w:bCs/>
          <w:iCs/>
        </w:rPr>
        <w:t>lacking</w:t>
      </w:r>
      <w:r w:rsidR="005874A2" w:rsidRPr="00777326">
        <w:rPr>
          <w:rFonts w:cs="Arial"/>
          <w:bCs/>
          <w:iCs/>
        </w:rPr>
        <w:t xml:space="preserve"> access to </w:t>
      </w:r>
      <w:r w:rsidR="00E1756A" w:rsidRPr="00777326">
        <w:rPr>
          <w:rFonts w:cs="Arial"/>
          <w:bCs/>
          <w:iCs/>
        </w:rPr>
        <w:t>oral health</w:t>
      </w:r>
      <w:r w:rsidRPr="00777326">
        <w:rPr>
          <w:rFonts w:cs="Arial"/>
          <w:bCs/>
          <w:iCs/>
        </w:rPr>
        <w:t>.</w:t>
      </w:r>
    </w:p>
    <w:p w14:paraId="3872DFB6" w14:textId="77777777" w:rsidR="00946041" w:rsidRPr="00777326" w:rsidRDefault="00946041" w:rsidP="00946041">
      <w:pPr>
        <w:numPr>
          <w:ilvl w:val="0"/>
          <w:numId w:val="1"/>
        </w:numPr>
        <w:spacing w:line="240" w:lineRule="auto"/>
        <w:contextualSpacing/>
        <w:rPr>
          <w:rFonts w:cs="Arial"/>
          <w:iCs/>
        </w:rPr>
      </w:pPr>
      <w:r w:rsidRPr="00777326">
        <w:rPr>
          <w:rFonts w:cs="Arial"/>
          <w:iCs/>
        </w:rPr>
        <w:lastRenderedPageBreak/>
        <w:t>Using a “virtual dental home” that ensures dental hygienists have dentists who can remotely supervise their work. California</w:t>
      </w:r>
      <w:r w:rsidR="005874A2" w:rsidRPr="00777326">
        <w:rPr>
          <w:rFonts w:cs="Arial"/>
          <w:iCs/>
        </w:rPr>
        <w:t xml:space="preserve"> has demonstrated this concept</w:t>
      </w:r>
      <w:r w:rsidRPr="00777326">
        <w:rPr>
          <w:rFonts w:cs="Arial"/>
          <w:iCs/>
        </w:rPr>
        <w:t xml:space="preserve"> (</w:t>
      </w:r>
      <w:proofErr w:type="spellStart"/>
      <w:r w:rsidRPr="00777326">
        <w:rPr>
          <w:rFonts w:cs="Arial"/>
          <w:iCs/>
        </w:rPr>
        <w:t>Yalowich</w:t>
      </w:r>
      <w:proofErr w:type="spellEnd"/>
      <w:r w:rsidRPr="00777326">
        <w:rPr>
          <w:rFonts w:cs="Arial"/>
          <w:iCs/>
        </w:rPr>
        <w:t xml:space="preserve"> and Corso, 2015)</w:t>
      </w:r>
      <w:r w:rsidR="005874A2" w:rsidRPr="00777326">
        <w:rPr>
          <w:rFonts w:cs="Arial"/>
          <w:iCs/>
        </w:rPr>
        <w:t>.</w:t>
      </w:r>
      <w:r w:rsidRPr="00777326">
        <w:rPr>
          <w:rFonts w:cs="Arial"/>
          <w:iCs/>
        </w:rPr>
        <w:t xml:space="preserve"> </w:t>
      </w:r>
      <w:r w:rsidR="005874A2" w:rsidRPr="00777326">
        <w:rPr>
          <w:rFonts w:cs="Arial"/>
          <w:iCs/>
        </w:rPr>
        <w:t xml:space="preserve"> </w:t>
      </w:r>
      <w:r w:rsidRPr="00777326">
        <w:rPr>
          <w:rFonts w:cs="Arial"/>
          <w:iCs/>
        </w:rPr>
        <w:t xml:space="preserve">This approach could extend </w:t>
      </w:r>
      <w:r w:rsidR="00E1756A" w:rsidRPr="00777326">
        <w:rPr>
          <w:rFonts w:cs="Arial"/>
          <w:iCs/>
        </w:rPr>
        <w:t>oral health</w:t>
      </w:r>
      <w:r w:rsidRPr="00777326">
        <w:rPr>
          <w:rFonts w:cs="Arial"/>
          <w:iCs/>
        </w:rPr>
        <w:t xml:space="preserve"> for hard to reach populations. </w:t>
      </w:r>
    </w:p>
    <w:p w14:paraId="29FD23DB" w14:textId="77777777" w:rsidR="00946041" w:rsidRPr="00777326" w:rsidRDefault="00946041" w:rsidP="00946041">
      <w:pPr>
        <w:spacing w:line="240" w:lineRule="auto"/>
        <w:ind w:left="360"/>
        <w:contextualSpacing/>
        <w:rPr>
          <w:rFonts w:cs="Arial"/>
          <w:iCs/>
        </w:rPr>
      </w:pPr>
    </w:p>
    <w:p w14:paraId="6F55611F" w14:textId="6B6C52F7" w:rsidR="00946041" w:rsidRPr="00777326" w:rsidRDefault="00861520" w:rsidP="0028480A">
      <w:pPr>
        <w:spacing w:line="240" w:lineRule="auto"/>
        <w:contextualSpacing/>
        <w:rPr>
          <w:rFonts w:cs="Arial"/>
          <w:iCs/>
        </w:rPr>
      </w:pPr>
      <w:r w:rsidRPr="00777326">
        <w:rPr>
          <w:rFonts w:cs="Arial"/>
          <w:iCs/>
        </w:rPr>
        <w:t>Implementing some</w:t>
      </w:r>
      <w:r w:rsidR="00946041" w:rsidRPr="00777326">
        <w:rPr>
          <w:rFonts w:cs="Arial"/>
          <w:iCs/>
        </w:rPr>
        <w:t xml:space="preserve"> of these concepts might require changes in state </w:t>
      </w:r>
      <w:r w:rsidR="00AC3ECA" w:rsidRPr="00777326">
        <w:rPr>
          <w:rFonts w:cs="Arial"/>
          <w:iCs/>
        </w:rPr>
        <w:t>laws</w:t>
      </w:r>
      <w:r w:rsidR="00946041" w:rsidRPr="00777326">
        <w:rPr>
          <w:rFonts w:cs="Arial"/>
          <w:iCs/>
        </w:rPr>
        <w:t>.</w:t>
      </w:r>
    </w:p>
    <w:p w14:paraId="5EF114E4" w14:textId="77777777" w:rsidR="0040114C" w:rsidRPr="008E42C6" w:rsidRDefault="0040114C" w:rsidP="008E42C6">
      <w:pPr>
        <w:pStyle w:val="Heading1"/>
        <w:numPr>
          <w:ilvl w:val="0"/>
          <w:numId w:val="19"/>
        </w:numPr>
        <w:rPr>
          <w:rFonts w:ascii="Calibri" w:hAnsi="Calibri"/>
          <w:color w:val="auto"/>
          <w:sz w:val="22"/>
          <w:szCs w:val="22"/>
        </w:rPr>
      </w:pPr>
      <w:r w:rsidRPr="008E42C6">
        <w:rPr>
          <w:rFonts w:ascii="Calibri" w:hAnsi="Calibri"/>
          <w:color w:val="auto"/>
          <w:sz w:val="22"/>
          <w:szCs w:val="22"/>
        </w:rPr>
        <w:t>Conclusion</w:t>
      </w:r>
    </w:p>
    <w:p w14:paraId="61BB6404" w14:textId="268CDF53" w:rsidR="0040114C" w:rsidRPr="00777326" w:rsidRDefault="004B4D29" w:rsidP="0040114C">
      <w:pPr>
        <w:spacing w:line="240" w:lineRule="auto"/>
        <w:rPr>
          <w:rFonts w:cs="Arial"/>
          <w:bCs/>
          <w:iCs/>
        </w:rPr>
      </w:pPr>
      <w:r w:rsidRPr="00777326">
        <w:rPr>
          <w:rFonts w:cs="Arial"/>
          <w:bCs/>
          <w:iCs/>
        </w:rPr>
        <w:t xml:space="preserve">Older adults and adults with disabilities have a unique </w:t>
      </w:r>
      <w:r w:rsidR="00283445" w:rsidRPr="00777326">
        <w:rPr>
          <w:rFonts w:cs="Arial"/>
          <w:bCs/>
          <w:iCs/>
        </w:rPr>
        <w:t xml:space="preserve">and challenging </w:t>
      </w:r>
      <w:r w:rsidRPr="00777326">
        <w:rPr>
          <w:rFonts w:cs="Arial"/>
          <w:bCs/>
          <w:iCs/>
        </w:rPr>
        <w:t>set of barriers to receiving</w:t>
      </w:r>
      <w:r w:rsidR="00AC3ECA" w:rsidRPr="00777326">
        <w:rPr>
          <w:rFonts w:cs="Arial"/>
          <w:bCs/>
          <w:iCs/>
        </w:rPr>
        <w:t xml:space="preserve"> needed</w:t>
      </w:r>
      <w:r w:rsidRPr="00777326">
        <w:rPr>
          <w:rFonts w:cs="Arial"/>
          <w:bCs/>
          <w:iCs/>
        </w:rPr>
        <w:t xml:space="preserve"> </w:t>
      </w:r>
      <w:r w:rsidR="00D17AA9" w:rsidRPr="00777326">
        <w:rPr>
          <w:rFonts w:cs="Arial"/>
          <w:bCs/>
          <w:iCs/>
        </w:rPr>
        <w:t xml:space="preserve">dental </w:t>
      </w:r>
      <w:r w:rsidRPr="00777326">
        <w:rPr>
          <w:rFonts w:cs="Arial"/>
          <w:bCs/>
          <w:iCs/>
        </w:rPr>
        <w:t xml:space="preserve">preventive </w:t>
      </w:r>
      <w:r w:rsidR="00AC3ECA" w:rsidRPr="00777326">
        <w:rPr>
          <w:rFonts w:cs="Arial"/>
          <w:bCs/>
          <w:iCs/>
        </w:rPr>
        <w:t>and treatment services</w:t>
      </w:r>
      <w:r w:rsidR="00C219E2" w:rsidRPr="00777326">
        <w:rPr>
          <w:rFonts w:cs="Arial"/>
          <w:bCs/>
          <w:iCs/>
        </w:rPr>
        <w:t>. Barriers include</w:t>
      </w:r>
      <w:r w:rsidRPr="00777326">
        <w:rPr>
          <w:rFonts w:cs="Arial"/>
          <w:bCs/>
          <w:iCs/>
        </w:rPr>
        <w:t xml:space="preserve"> affordability and accessibility of services. </w:t>
      </w:r>
      <w:r w:rsidR="00C219E2" w:rsidRPr="00777326">
        <w:rPr>
          <w:rFonts w:cs="Arial"/>
          <w:bCs/>
          <w:iCs/>
        </w:rPr>
        <w:t xml:space="preserve"> These groups or their caregivers</w:t>
      </w:r>
      <w:r w:rsidRPr="00777326">
        <w:rPr>
          <w:rFonts w:cs="Arial"/>
          <w:bCs/>
          <w:iCs/>
        </w:rPr>
        <w:t xml:space="preserve"> also may not </w:t>
      </w:r>
      <w:r w:rsidR="00751B39" w:rsidRPr="00777326">
        <w:rPr>
          <w:rFonts w:cs="Arial"/>
          <w:bCs/>
          <w:iCs/>
        </w:rPr>
        <w:t>be aware of</w:t>
      </w:r>
      <w:r w:rsidR="00427317" w:rsidRPr="00777326">
        <w:rPr>
          <w:rFonts w:cs="Arial"/>
          <w:bCs/>
          <w:iCs/>
        </w:rPr>
        <w:t xml:space="preserve"> the importance of </w:t>
      </w:r>
      <w:r w:rsidRPr="00777326">
        <w:rPr>
          <w:rFonts w:cs="Arial"/>
          <w:bCs/>
          <w:iCs/>
        </w:rPr>
        <w:t xml:space="preserve">hygiene and using </w:t>
      </w:r>
      <w:r w:rsidR="00427317" w:rsidRPr="00777326">
        <w:rPr>
          <w:rFonts w:cs="Arial"/>
          <w:bCs/>
          <w:iCs/>
        </w:rPr>
        <w:t xml:space="preserve">oral health services to </w:t>
      </w:r>
      <w:r w:rsidR="00AC3ECA" w:rsidRPr="00777326">
        <w:rPr>
          <w:rFonts w:cs="Arial"/>
          <w:bCs/>
          <w:iCs/>
        </w:rPr>
        <w:t>help</w:t>
      </w:r>
      <w:r w:rsidR="00427317" w:rsidRPr="00777326">
        <w:rPr>
          <w:rFonts w:cs="Arial"/>
          <w:bCs/>
          <w:iCs/>
        </w:rPr>
        <w:t xml:space="preserve"> </w:t>
      </w:r>
      <w:r w:rsidRPr="00777326">
        <w:rPr>
          <w:rFonts w:cs="Arial"/>
          <w:bCs/>
          <w:iCs/>
        </w:rPr>
        <w:t>preserve their health</w:t>
      </w:r>
      <w:r w:rsidR="00283445" w:rsidRPr="00777326">
        <w:rPr>
          <w:rFonts w:cs="Arial"/>
          <w:bCs/>
          <w:iCs/>
        </w:rPr>
        <w:t xml:space="preserve">, and may not be aware of the consequences of poor care until they occur. </w:t>
      </w:r>
      <w:r w:rsidR="00751B39" w:rsidRPr="00777326">
        <w:rPr>
          <w:rFonts w:cs="Arial"/>
          <w:bCs/>
          <w:iCs/>
        </w:rPr>
        <w:t xml:space="preserve"> </w:t>
      </w:r>
    </w:p>
    <w:p w14:paraId="6CF8CA96" w14:textId="6263B7BE" w:rsidR="004B4D29" w:rsidRPr="00777326" w:rsidRDefault="00203322" w:rsidP="0040114C">
      <w:pPr>
        <w:spacing w:line="240" w:lineRule="auto"/>
        <w:rPr>
          <w:rFonts w:cs="Arial"/>
          <w:bCs/>
          <w:iCs/>
        </w:rPr>
      </w:pPr>
      <w:r w:rsidRPr="00777326">
        <w:rPr>
          <w:rFonts w:cs="Arial"/>
          <w:bCs/>
          <w:iCs/>
        </w:rPr>
        <w:t xml:space="preserve">Consequences </w:t>
      </w:r>
      <w:r w:rsidR="004B4D29" w:rsidRPr="00777326">
        <w:rPr>
          <w:rFonts w:cs="Arial"/>
          <w:bCs/>
          <w:iCs/>
        </w:rPr>
        <w:t>of inadequate access to services include</w:t>
      </w:r>
      <w:r w:rsidR="005874A2" w:rsidRPr="00777326">
        <w:rPr>
          <w:rFonts w:cs="Arial"/>
          <w:bCs/>
          <w:iCs/>
        </w:rPr>
        <w:t xml:space="preserve"> </w:t>
      </w:r>
      <w:r w:rsidR="00D17AA9" w:rsidRPr="00777326">
        <w:rPr>
          <w:rFonts w:cs="Arial"/>
          <w:bCs/>
          <w:iCs/>
        </w:rPr>
        <w:t>increased risk related to</w:t>
      </w:r>
      <w:r w:rsidR="005874A2" w:rsidRPr="00777326">
        <w:rPr>
          <w:rFonts w:cs="Arial"/>
          <w:bCs/>
          <w:iCs/>
        </w:rPr>
        <w:t xml:space="preserve"> certain chronic diseases,</w:t>
      </w:r>
      <w:r w:rsidR="004B4D29" w:rsidRPr="00777326">
        <w:rPr>
          <w:rFonts w:cs="Arial"/>
          <w:bCs/>
          <w:iCs/>
        </w:rPr>
        <w:t xml:space="preserve"> avoidable hospital use,</w:t>
      </w:r>
      <w:r w:rsidR="005874A2" w:rsidRPr="00777326">
        <w:rPr>
          <w:rFonts w:cs="Arial"/>
          <w:bCs/>
          <w:iCs/>
        </w:rPr>
        <w:t xml:space="preserve"> and, sometimes, death. </w:t>
      </w:r>
      <w:r w:rsidR="004B4D29" w:rsidRPr="00777326">
        <w:rPr>
          <w:rFonts w:cs="Arial"/>
          <w:bCs/>
          <w:iCs/>
        </w:rPr>
        <w:t xml:space="preserve"> Among the options states have for addressing these problems are integrating oral health into primary care; expanding use of dentist extenders, like hygienists; expanding Medicaid dental coverage, and ensuring that older adults and adults with disabilities have access to services through their</w:t>
      </w:r>
      <w:r w:rsidR="00AC3ECA" w:rsidRPr="00777326">
        <w:rPr>
          <w:rFonts w:cs="Arial"/>
          <w:bCs/>
          <w:iCs/>
        </w:rPr>
        <w:t xml:space="preserve"> Medicaid</w:t>
      </w:r>
      <w:r w:rsidR="004B4D29" w:rsidRPr="00777326">
        <w:rPr>
          <w:rFonts w:cs="Arial"/>
          <w:bCs/>
          <w:iCs/>
        </w:rPr>
        <w:t xml:space="preserve"> managed care plans and </w:t>
      </w:r>
      <w:r w:rsidR="005874A2" w:rsidRPr="00777326">
        <w:rPr>
          <w:rFonts w:cs="Arial"/>
          <w:bCs/>
          <w:iCs/>
        </w:rPr>
        <w:t xml:space="preserve">Community </w:t>
      </w:r>
      <w:r w:rsidR="00AC3ECA" w:rsidRPr="00777326">
        <w:rPr>
          <w:rFonts w:cs="Arial"/>
          <w:bCs/>
          <w:iCs/>
        </w:rPr>
        <w:t>H</w:t>
      </w:r>
      <w:r w:rsidR="005874A2" w:rsidRPr="00777326">
        <w:rPr>
          <w:rFonts w:cs="Arial"/>
          <w:bCs/>
          <w:iCs/>
        </w:rPr>
        <w:t>ealth C</w:t>
      </w:r>
      <w:r w:rsidR="004B4D29" w:rsidRPr="00777326">
        <w:rPr>
          <w:rFonts w:cs="Arial"/>
          <w:bCs/>
          <w:iCs/>
        </w:rPr>
        <w:t xml:space="preserve">enters.  Education </w:t>
      </w:r>
      <w:r w:rsidRPr="00777326">
        <w:rPr>
          <w:rFonts w:cs="Arial"/>
          <w:bCs/>
          <w:iCs/>
        </w:rPr>
        <w:t xml:space="preserve">of older adults, people with disabilities and their caregivers </w:t>
      </w:r>
      <w:r w:rsidR="004B4D29" w:rsidRPr="00777326">
        <w:rPr>
          <w:rFonts w:cs="Arial"/>
          <w:bCs/>
          <w:iCs/>
        </w:rPr>
        <w:t xml:space="preserve">through the Aging and Public Health Networks is critical too. </w:t>
      </w:r>
    </w:p>
    <w:p w14:paraId="1F80D43B" w14:textId="7F0CB88E" w:rsidR="005A3F82" w:rsidRDefault="00946041" w:rsidP="005A3F82">
      <w:pPr>
        <w:spacing w:after="0" w:line="240" w:lineRule="auto"/>
        <w:rPr>
          <w:rFonts w:cs="Arial"/>
          <w:bCs/>
          <w:iCs/>
        </w:rPr>
      </w:pPr>
      <w:r w:rsidRPr="00777326">
        <w:rPr>
          <w:rFonts w:cs="Arial"/>
          <w:bCs/>
          <w:iCs/>
        </w:rPr>
        <w:t xml:space="preserve">Another step could be </w:t>
      </w:r>
      <w:r w:rsidR="00633F48" w:rsidRPr="00777326">
        <w:rPr>
          <w:rFonts w:cs="Arial"/>
          <w:bCs/>
          <w:iCs/>
        </w:rPr>
        <w:t>evaluating</w:t>
      </w:r>
      <w:r w:rsidR="00203322" w:rsidRPr="00777326">
        <w:rPr>
          <w:rFonts w:cs="Arial"/>
          <w:bCs/>
          <w:iCs/>
        </w:rPr>
        <w:t xml:space="preserve"> whether</w:t>
      </w:r>
      <w:r w:rsidRPr="00777326">
        <w:rPr>
          <w:rFonts w:cs="Arial"/>
          <w:bCs/>
          <w:iCs/>
        </w:rPr>
        <w:t xml:space="preserve"> Medicare and Medicaid dental health benefits could or should be extended to a more broad set of medically-related dental services.  For example, there is adequate evidence that diabetes and </w:t>
      </w:r>
      <w:r w:rsidR="007A3632" w:rsidRPr="00777326">
        <w:rPr>
          <w:rFonts w:cs="Arial"/>
          <w:bCs/>
          <w:iCs/>
        </w:rPr>
        <w:t>cardiovascular disease are intertwined with poor oral health</w:t>
      </w:r>
      <w:r w:rsidRPr="00777326">
        <w:rPr>
          <w:rFonts w:cs="Arial"/>
          <w:bCs/>
          <w:iCs/>
        </w:rPr>
        <w:t>, with each condition making the other worse.  Would it be permissible under feder</w:t>
      </w:r>
      <w:r w:rsidR="00D17AA9" w:rsidRPr="00777326">
        <w:rPr>
          <w:rFonts w:cs="Arial"/>
          <w:bCs/>
          <w:iCs/>
        </w:rPr>
        <w:t>al law for Medicare and Medicaid</w:t>
      </w:r>
      <w:r w:rsidRPr="00777326">
        <w:rPr>
          <w:rFonts w:cs="Arial"/>
          <w:bCs/>
          <w:iCs/>
        </w:rPr>
        <w:t xml:space="preserve"> to provide dental treatments</w:t>
      </w:r>
      <w:r w:rsidR="00D17AA9" w:rsidRPr="00777326">
        <w:rPr>
          <w:rFonts w:cs="Arial"/>
          <w:bCs/>
          <w:iCs/>
        </w:rPr>
        <w:t xml:space="preserve"> to adults</w:t>
      </w:r>
      <w:r w:rsidRPr="00777326">
        <w:rPr>
          <w:rFonts w:cs="Arial"/>
          <w:bCs/>
          <w:iCs/>
        </w:rPr>
        <w:t xml:space="preserve"> that improve medi</w:t>
      </w:r>
      <w:r w:rsidR="0028480A" w:rsidRPr="00777326">
        <w:rPr>
          <w:rFonts w:cs="Arial"/>
          <w:bCs/>
          <w:iCs/>
        </w:rPr>
        <w:t>cal conditions</w:t>
      </w:r>
      <w:r w:rsidRPr="00777326">
        <w:rPr>
          <w:rFonts w:cs="Arial"/>
          <w:bCs/>
          <w:iCs/>
        </w:rPr>
        <w:t xml:space="preserve">?  This would be a more expansive interpretation of federal law than that in use today. </w:t>
      </w:r>
    </w:p>
    <w:p w14:paraId="26112363" w14:textId="77777777" w:rsidR="005A3F82" w:rsidRDefault="005A3F82">
      <w:pPr>
        <w:rPr>
          <w:rFonts w:cs="Arial"/>
          <w:bCs/>
          <w:iCs/>
        </w:rPr>
      </w:pPr>
      <w:r>
        <w:rPr>
          <w:rFonts w:cs="Arial"/>
          <w:bCs/>
          <w:iCs/>
        </w:rPr>
        <w:br w:type="page"/>
      </w:r>
    </w:p>
    <w:p w14:paraId="46B007F2" w14:textId="021AD3E2" w:rsidR="0074745B" w:rsidRPr="00CE4122" w:rsidRDefault="00777326" w:rsidP="00CE4122">
      <w:pPr>
        <w:pStyle w:val="Heading1"/>
        <w:jc w:val="center"/>
        <w:rPr>
          <w:rFonts w:ascii="Calibri" w:hAnsi="Calibri"/>
          <w:color w:val="auto"/>
          <w:sz w:val="24"/>
          <w:szCs w:val="24"/>
        </w:rPr>
      </w:pPr>
      <w:r w:rsidRPr="00CE4122">
        <w:rPr>
          <w:rFonts w:ascii="Calibri" w:hAnsi="Calibri"/>
          <w:color w:val="auto"/>
          <w:sz w:val="24"/>
          <w:szCs w:val="24"/>
        </w:rPr>
        <w:lastRenderedPageBreak/>
        <w:t>References</w:t>
      </w:r>
    </w:p>
    <w:p w14:paraId="6A2DA9BA" w14:textId="79B5D29E" w:rsidR="00097264" w:rsidRPr="00777326" w:rsidRDefault="001E150C" w:rsidP="00196E86">
      <w:pPr>
        <w:spacing w:line="240" w:lineRule="auto"/>
        <w:rPr>
          <w:rFonts w:cs="Arial"/>
          <w:bCs/>
          <w:iCs/>
        </w:rPr>
      </w:pPr>
      <w:proofErr w:type="gramStart"/>
      <w:r w:rsidRPr="00777326">
        <w:rPr>
          <w:rFonts w:cs="Arial"/>
          <w:bCs/>
          <w:iCs/>
        </w:rPr>
        <w:t>Administration for Community Living, (2016).</w:t>
      </w:r>
      <w:proofErr w:type="gramEnd"/>
      <w:r w:rsidRPr="00777326">
        <w:rPr>
          <w:rFonts w:cs="Arial"/>
          <w:bCs/>
          <w:iCs/>
        </w:rPr>
        <w:t xml:space="preserve"> </w:t>
      </w:r>
      <w:r w:rsidRPr="00777326">
        <w:rPr>
          <w:rFonts w:cs="Arial"/>
          <w:bCs/>
          <w:i/>
          <w:iCs/>
        </w:rPr>
        <w:t xml:space="preserve"> </w:t>
      </w:r>
      <w:proofErr w:type="gramStart"/>
      <w:r w:rsidRPr="00777326">
        <w:rPr>
          <w:rFonts w:cs="Arial"/>
          <w:bCs/>
          <w:i/>
          <w:iCs/>
        </w:rPr>
        <w:t>State Program Report Data.</w:t>
      </w:r>
      <w:proofErr w:type="gramEnd"/>
      <w:r w:rsidRPr="00777326">
        <w:rPr>
          <w:rFonts w:cs="Arial"/>
          <w:bCs/>
          <w:iCs/>
        </w:rPr>
        <w:t xml:space="preserve"> Retrieved August 22, 2016</w:t>
      </w:r>
      <w:proofErr w:type="gramStart"/>
      <w:r w:rsidR="00CE4122">
        <w:rPr>
          <w:rFonts w:cs="Arial"/>
          <w:bCs/>
          <w:iCs/>
        </w:rPr>
        <w:t>.</w:t>
      </w:r>
      <w:r w:rsidRPr="00777326">
        <w:rPr>
          <w:rFonts w:cs="Arial"/>
          <w:bCs/>
          <w:iCs/>
        </w:rPr>
        <w:t>.</w:t>
      </w:r>
      <w:proofErr w:type="gramEnd"/>
      <w:r w:rsidR="00097264" w:rsidRPr="00777326">
        <w:rPr>
          <w:rFonts w:cs="Arial"/>
          <w:bCs/>
          <w:iCs/>
        </w:rPr>
        <w:t xml:space="preserve"> </w:t>
      </w:r>
    </w:p>
    <w:p w14:paraId="74D5241A" w14:textId="77777777" w:rsidR="0074745B" w:rsidRPr="00777326" w:rsidRDefault="00997F54" w:rsidP="00196E86">
      <w:pPr>
        <w:spacing w:line="240" w:lineRule="auto"/>
        <w:rPr>
          <w:rFonts w:cs="Arial"/>
          <w:bCs/>
          <w:iCs/>
        </w:rPr>
      </w:pPr>
      <w:proofErr w:type="spellStart"/>
      <w:r w:rsidRPr="00777326">
        <w:rPr>
          <w:rFonts w:cs="Arial"/>
          <w:bCs/>
          <w:iCs/>
        </w:rPr>
        <w:t>A</w:t>
      </w:r>
      <w:r w:rsidR="001D4C72" w:rsidRPr="00777326">
        <w:rPr>
          <w:rFonts w:cs="Arial"/>
          <w:bCs/>
          <w:iCs/>
        </w:rPr>
        <w:t>llareddy</w:t>
      </w:r>
      <w:proofErr w:type="spellEnd"/>
      <w:r w:rsidR="001D4C72" w:rsidRPr="00777326">
        <w:rPr>
          <w:rFonts w:cs="Arial"/>
          <w:bCs/>
          <w:iCs/>
        </w:rPr>
        <w:t xml:space="preserve"> V, </w:t>
      </w:r>
      <w:proofErr w:type="spellStart"/>
      <w:r w:rsidR="001D4C72" w:rsidRPr="00777326">
        <w:rPr>
          <w:rFonts w:cs="Arial"/>
          <w:bCs/>
          <w:iCs/>
        </w:rPr>
        <w:t>Rampa</w:t>
      </w:r>
      <w:proofErr w:type="spellEnd"/>
      <w:r w:rsidR="001D4C72" w:rsidRPr="00777326">
        <w:rPr>
          <w:rFonts w:cs="Arial"/>
          <w:bCs/>
          <w:iCs/>
        </w:rPr>
        <w:t xml:space="preserve"> S, Lee M, </w:t>
      </w:r>
      <w:proofErr w:type="spellStart"/>
      <w:r w:rsidR="001D4C72" w:rsidRPr="00777326">
        <w:rPr>
          <w:rFonts w:cs="Arial"/>
          <w:bCs/>
          <w:iCs/>
        </w:rPr>
        <w:t>Allareddy</w:t>
      </w:r>
      <w:proofErr w:type="spellEnd"/>
      <w:r w:rsidR="001D4C72" w:rsidRPr="00777326">
        <w:rPr>
          <w:rFonts w:cs="Arial"/>
          <w:bCs/>
          <w:iCs/>
        </w:rPr>
        <w:t xml:space="preserve"> V, </w:t>
      </w:r>
      <w:proofErr w:type="spellStart"/>
      <w:r w:rsidR="001D4C72" w:rsidRPr="00777326">
        <w:rPr>
          <w:rFonts w:cs="Arial"/>
          <w:bCs/>
          <w:iCs/>
        </w:rPr>
        <w:t>Nalliah</w:t>
      </w:r>
      <w:proofErr w:type="spellEnd"/>
      <w:r w:rsidR="001D4C72" w:rsidRPr="00777326">
        <w:rPr>
          <w:rFonts w:cs="Arial"/>
          <w:bCs/>
          <w:iCs/>
        </w:rPr>
        <w:t xml:space="preserve">  R, “Hospital-based Emergency Department Visits involving Dental Conditions,” </w:t>
      </w:r>
      <w:r w:rsidR="001D4C72" w:rsidRPr="00777326">
        <w:rPr>
          <w:rFonts w:cs="Arial"/>
          <w:bCs/>
          <w:i/>
          <w:iCs/>
        </w:rPr>
        <w:t>Journal of the American Dental Association</w:t>
      </w:r>
      <w:r w:rsidR="001D4C72" w:rsidRPr="00777326">
        <w:rPr>
          <w:rFonts w:cs="Arial"/>
          <w:bCs/>
          <w:iCs/>
        </w:rPr>
        <w:t>, 2014, vol.145, no.4, pgs.331-337.</w:t>
      </w:r>
    </w:p>
    <w:p w14:paraId="2FD6E9FD" w14:textId="77777777" w:rsidR="001D4C72" w:rsidRPr="00777326" w:rsidRDefault="001D4C72" w:rsidP="00196E86">
      <w:pPr>
        <w:spacing w:line="240" w:lineRule="auto"/>
        <w:rPr>
          <w:rFonts w:cs="Arial"/>
          <w:bCs/>
          <w:iCs/>
        </w:rPr>
      </w:pPr>
      <w:r w:rsidRPr="00777326">
        <w:rPr>
          <w:rFonts w:cs="Arial"/>
          <w:bCs/>
          <w:iCs/>
        </w:rPr>
        <w:t xml:space="preserve">Anders P, Davis E, “Oral Health of Patients with Intellectual Disabilities: a Systematic Review,” </w:t>
      </w:r>
      <w:r w:rsidRPr="00777326">
        <w:rPr>
          <w:rFonts w:cs="Arial"/>
          <w:bCs/>
          <w:i/>
          <w:iCs/>
        </w:rPr>
        <w:t>Special Care Dentistry</w:t>
      </w:r>
      <w:r w:rsidRPr="00777326">
        <w:rPr>
          <w:rFonts w:cs="Arial"/>
          <w:bCs/>
          <w:iCs/>
        </w:rPr>
        <w:t>, 2010, vol.30, no.3, pgs.110-117.</w:t>
      </w:r>
    </w:p>
    <w:p w14:paraId="62DB6227" w14:textId="77777777" w:rsidR="005D57D6" w:rsidRPr="00777326" w:rsidRDefault="005D57D6" w:rsidP="00196E86">
      <w:pPr>
        <w:spacing w:line="240" w:lineRule="auto"/>
        <w:rPr>
          <w:rFonts w:cs="Arial"/>
          <w:bCs/>
          <w:iCs/>
        </w:rPr>
      </w:pPr>
      <w:proofErr w:type="spellStart"/>
      <w:r w:rsidRPr="00777326">
        <w:rPr>
          <w:rFonts w:cs="Arial"/>
          <w:bCs/>
          <w:iCs/>
        </w:rPr>
        <w:t>Armour</w:t>
      </w:r>
      <w:proofErr w:type="spellEnd"/>
      <w:r w:rsidRPr="00777326">
        <w:rPr>
          <w:rFonts w:cs="Arial"/>
          <w:bCs/>
          <w:iCs/>
        </w:rPr>
        <w:t xml:space="preserve"> B, Swanson M, Waldman H, Perlman S, “A Profile of State-level Differences in the Oral Health of People with and without Disabilities, in the U.S., in 2004,” </w:t>
      </w:r>
      <w:r w:rsidRPr="00777326">
        <w:rPr>
          <w:rFonts w:cs="Arial"/>
          <w:bCs/>
          <w:i/>
          <w:iCs/>
        </w:rPr>
        <w:t>Public Health Reports</w:t>
      </w:r>
      <w:r w:rsidRPr="00777326">
        <w:rPr>
          <w:rFonts w:cs="Arial"/>
          <w:bCs/>
          <w:iCs/>
        </w:rPr>
        <w:t>, 2008, vol.123, pgs.67-75.</w:t>
      </w:r>
    </w:p>
    <w:p w14:paraId="15516ACE" w14:textId="77777777" w:rsidR="005D57D6" w:rsidRPr="00777326" w:rsidRDefault="005D57D6" w:rsidP="00196E86">
      <w:pPr>
        <w:spacing w:line="240" w:lineRule="auto"/>
        <w:rPr>
          <w:rFonts w:cs="Arial"/>
        </w:rPr>
      </w:pPr>
      <w:proofErr w:type="spellStart"/>
      <w:proofErr w:type="gramStart"/>
      <w:r w:rsidRPr="00777326">
        <w:rPr>
          <w:rFonts w:cs="Arial"/>
        </w:rPr>
        <w:t>Berkey</w:t>
      </w:r>
      <w:proofErr w:type="spellEnd"/>
      <w:r w:rsidRPr="00777326">
        <w:rPr>
          <w:rFonts w:cs="Arial"/>
        </w:rPr>
        <w:t xml:space="preserve"> D, </w:t>
      </w:r>
      <w:proofErr w:type="spellStart"/>
      <w:r w:rsidRPr="00777326">
        <w:rPr>
          <w:rFonts w:cs="Arial"/>
        </w:rPr>
        <w:t>Scannapieco</w:t>
      </w:r>
      <w:proofErr w:type="spellEnd"/>
      <w:r w:rsidRPr="00777326">
        <w:rPr>
          <w:rFonts w:cs="Arial"/>
        </w:rPr>
        <w:t xml:space="preserve"> F, “Medical Considerations Relating to the Oral Health of Older Adults,” </w:t>
      </w:r>
      <w:r w:rsidRPr="00777326">
        <w:rPr>
          <w:rFonts w:cs="Arial"/>
          <w:i/>
        </w:rPr>
        <w:t>Special Care in Dentistry</w:t>
      </w:r>
      <w:r w:rsidRPr="00777326">
        <w:rPr>
          <w:rFonts w:cs="Arial"/>
        </w:rPr>
        <w:t>, 2013, vol.33, no.4, pgs.164-176.</w:t>
      </w:r>
      <w:proofErr w:type="gramEnd"/>
    </w:p>
    <w:p w14:paraId="6F7B253E" w14:textId="77777777" w:rsidR="001D4C72" w:rsidRPr="00777326" w:rsidRDefault="005D57D6" w:rsidP="00196E86">
      <w:pPr>
        <w:spacing w:line="240" w:lineRule="auto"/>
        <w:rPr>
          <w:rFonts w:cs="Arial"/>
          <w:iCs/>
        </w:rPr>
      </w:pPr>
      <w:proofErr w:type="spellStart"/>
      <w:r w:rsidRPr="00777326">
        <w:rPr>
          <w:rFonts w:cs="Arial"/>
          <w:iCs/>
        </w:rPr>
        <w:t>Blaizot</w:t>
      </w:r>
      <w:proofErr w:type="spellEnd"/>
      <w:r w:rsidRPr="00777326">
        <w:rPr>
          <w:rFonts w:cs="Arial"/>
          <w:iCs/>
        </w:rPr>
        <w:t xml:space="preserve"> A, </w:t>
      </w:r>
      <w:proofErr w:type="spellStart"/>
      <w:r w:rsidRPr="00777326">
        <w:rPr>
          <w:rFonts w:cs="Arial"/>
          <w:iCs/>
        </w:rPr>
        <w:t>Vergnes</w:t>
      </w:r>
      <w:proofErr w:type="spellEnd"/>
      <w:r w:rsidRPr="00777326">
        <w:rPr>
          <w:rFonts w:cs="Arial"/>
          <w:iCs/>
        </w:rPr>
        <w:t xml:space="preserve"> J, </w:t>
      </w:r>
      <w:proofErr w:type="spellStart"/>
      <w:r w:rsidRPr="00777326">
        <w:rPr>
          <w:rFonts w:cs="Arial"/>
          <w:iCs/>
        </w:rPr>
        <w:t>Nuwwareh</w:t>
      </w:r>
      <w:proofErr w:type="spellEnd"/>
      <w:r w:rsidRPr="00777326">
        <w:rPr>
          <w:rFonts w:cs="Arial"/>
          <w:iCs/>
        </w:rPr>
        <w:t xml:space="preserve"> S, Amar J, </w:t>
      </w:r>
      <w:proofErr w:type="spellStart"/>
      <w:r w:rsidRPr="00777326">
        <w:rPr>
          <w:rFonts w:cs="Arial"/>
          <w:iCs/>
        </w:rPr>
        <w:t>Sixou</w:t>
      </w:r>
      <w:proofErr w:type="spellEnd"/>
      <w:r w:rsidRPr="00777326">
        <w:rPr>
          <w:rFonts w:cs="Arial"/>
          <w:iCs/>
        </w:rPr>
        <w:t xml:space="preserve"> M,</w:t>
      </w:r>
      <w:r w:rsidRPr="00777326">
        <w:rPr>
          <w:rFonts w:cs="Arial"/>
        </w:rPr>
        <w:t xml:space="preserve"> “</w:t>
      </w:r>
      <w:r w:rsidRPr="00777326">
        <w:rPr>
          <w:rFonts w:cs="Arial"/>
          <w:iCs/>
        </w:rPr>
        <w:t xml:space="preserve">Periodontal Diseases and Cardiovascular events: Meta-analysis of Observational Studies,” </w:t>
      </w:r>
      <w:r w:rsidRPr="00777326">
        <w:rPr>
          <w:rFonts w:cs="Arial"/>
          <w:i/>
          <w:iCs/>
        </w:rPr>
        <w:t>International Dental Journal</w:t>
      </w:r>
      <w:r w:rsidRPr="00777326">
        <w:rPr>
          <w:rFonts w:cs="Arial"/>
          <w:iCs/>
        </w:rPr>
        <w:t>, 2009, vol.59, pgs.197-209.</w:t>
      </w:r>
    </w:p>
    <w:p w14:paraId="6250B581" w14:textId="22896F2E" w:rsidR="005D57D6" w:rsidRPr="00777326" w:rsidRDefault="005D57D6" w:rsidP="00196E86">
      <w:pPr>
        <w:spacing w:line="240" w:lineRule="auto"/>
        <w:rPr>
          <w:rFonts w:cs="Arial"/>
        </w:rPr>
      </w:pPr>
      <w:r w:rsidRPr="00777326">
        <w:rPr>
          <w:rFonts w:cs="Arial"/>
        </w:rPr>
        <w:t xml:space="preserve">Centers for Disease Control and Prevention, </w:t>
      </w:r>
      <w:r w:rsidRPr="00777326">
        <w:rPr>
          <w:rFonts w:cs="Arial"/>
          <w:i/>
        </w:rPr>
        <w:t>Oral Health for Older Americans</w:t>
      </w:r>
      <w:r w:rsidRPr="00777326">
        <w:rPr>
          <w:rFonts w:cs="Arial"/>
        </w:rPr>
        <w:t>, accessed July 2016</w:t>
      </w:r>
      <w:r w:rsidR="00CE4122">
        <w:rPr>
          <w:rFonts w:cs="Arial"/>
        </w:rPr>
        <w:t>.</w:t>
      </w:r>
      <w:r w:rsidRPr="00777326">
        <w:rPr>
          <w:rFonts w:cs="Arial"/>
        </w:rPr>
        <w:t xml:space="preserve"> </w:t>
      </w:r>
    </w:p>
    <w:p w14:paraId="4D500AFA" w14:textId="710649F3" w:rsidR="0062459C" w:rsidRPr="00777326" w:rsidRDefault="0062459C" w:rsidP="00BA2C4F">
      <w:pPr>
        <w:spacing w:line="240" w:lineRule="auto"/>
        <w:rPr>
          <w:rFonts w:cs="Arial"/>
          <w:iCs/>
        </w:rPr>
      </w:pPr>
      <w:r w:rsidRPr="00777326">
        <w:rPr>
          <w:rFonts w:cs="Arial"/>
          <w:iCs/>
        </w:rPr>
        <w:t xml:space="preserve">Center for Medicare Advocacy, </w:t>
      </w:r>
      <w:r w:rsidRPr="00777326">
        <w:rPr>
          <w:rFonts w:cs="Arial"/>
          <w:i/>
          <w:iCs/>
        </w:rPr>
        <w:t>May 2016—Medicare’s Coverage of Oral Health &amp; Other Issues</w:t>
      </w:r>
      <w:r w:rsidR="00CE4122">
        <w:rPr>
          <w:rFonts w:cs="Arial"/>
          <w:iCs/>
        </w:rPr>
        <w:t xml:space="preserve">, </w:t>
      </w:r>
      <w:proofErr w:type="gramStart"/>
      <w:r w:rsidR="00CE4122">
        <w:rPr>
          <w:rFonts w:cs="Arial"/>
          <w:iCs/>
        </w:rPr>
        <w:t xml:space="preserve">accessed </w:t>
      </w:r>
      <w:r w:rsidRPr="00777326">
        <w:rPr>
          <w:rFonts w:cs="Arial"/>
          <w:iCs/>
        </w:rPr>
        <w:t xml:space="preserve"> August</w:t>
      </w:r>
      <w:proofErr w:type="gramEnd"/>
      <w:r w:rsidRPr="00777326">
        <w:rPr>
          <w:rFonts w:cs="Arial"/>
          <w:iCs/>
        </w:rPr>
        <w:t xml:space="preserve"> 18, 2016. </w:t>
      </w:r>
    </w:p>
    <w:p w14:paraId="12C1EEFE" w14:textId="77777777" w:rsidR="00BA2C4F" w:rsidRPr="00777326" w:rsidRDefault="00BA2C4F" w:rsidP="00BA2C4F">
      <w:pPr>
        <w:spacing w:line="240" w:lineRule="auto"/>
        <w:rPr>
          <w:rFonts w:cs="Arial"/>
          <w:iCs/>
        </w:rPr>
      </w:pPr>
      <w:proofErr w:type="gramStart"/>
      <w:r w:rsidRPr="00777326">
        <w:rPr>
          <w:rFonts w:cs="Arial"/>
          <w:iCs/>
        </w:rPr>
        <w:t>Centers for Medicare &amp; Medicaid Services, Department of Health and Human Services.</w:t>
      </w:r>
      <w:proofErr w:type="gramEnd"/>
      <w:r w:rsidRPr="00777326">
        <w:rPr>
          <w:rFonts w:cs="Arial"/>
          <w:iCs/>
        </w:rPr>
        <w:t xml:space="preserve"> </w:t>
      </w:r>
      <w:proofErr w:type="gramStart"/>
      <w:r w:rsidRPr="00777326">
        <w:rPr>
          <w:rFonts w:cs="Arial"/>
          <w:iCs/>
        </w:rPr>
        <w:t>Public Health; Medical Assistance; Services; Final Rule.42 CFR Chapter IV 440.50.</w:t>
      </w:r>
      <w:proofErr w:type="gramEnd"/>
      <w:r w:rsidRPr="00777326">
        <w:rPr>
          <w:rFonts w:cs="Arial"/>
          <w:iCs/>
        </w:rPr>
        <w:t xml:space="preserve"> March 1991</w:t>
      </w:r>
    </w:p>
    <w:p w14:paraId="34FA3568" w14:textId="2EAB2703" w:rsidR="002D708F" w:rsidRPr="00777326" w:rsidRDefault="002D708F" w:rsidP="00BA2C4F">
      <w:pPr>
        <w:spacing w:line="240" w:lineRule="auto"/>
        <w:rPr>
          <w:rFonts w:cs="Arial"/>
          <w:iCs/>
        </w:rPr>
      </w:pPr>
      <w:r w:rsidRPr="00777326">
        <w:rPr>
          <w:rFonts w:cs="Arial"/>
          <w:iCs/>
        </w:rPr>
        <w:t xml:space="preserve">Centers for Medicare &amp; Medicaid Services, </w:t>
      </w:r>
      <w:r w:rsidRPr="00777326">
        <w:rPr>
          <w:rFonts w:cs="Arial"/>
          <w:i/>
          <w:iCs/>
        </w:rPr>
        <w:t>Medicare Dental Coverage</w:t>
      </w:r>
      <w:r w:rsidR="00CE4122">
        <w:rPr>
          <w:rFonts w:cs="Arial"/>
          <w:iCs/>
        </w:rPr>
        <w:t>, accessed July 2016.</w:t>
      </w:r>
    </w:p>
    <w:p w14:paraId="7DDF93EB" w14:textId="77777777" w:rsidR="001D4C72" w:rsidRPr="00777326" w:rsidRDefault="001D4C72" w:rsidP="00196E86">
      <w:pPr>
        <w:spacing w:line="240" w:lineRule="auto"/>
        <w:rPr>
          <w:rFonts w:cs="Arial"/>
          <w:bCs/>
          <w:iCs/>
        </w:rPr>
      </w:pPr>
      <w:proofErr w:type="spellStart"/>
      <w:r w:rsidRPr="00777326">
        <w:rPr>
          <w:rFonts w:cs="Arial"/>
          <w:bCs/>
          <w:iCs/>
        </w:rPr>
        <w:t>Chazin</w:t>
      </w:r>
      <w:proofErr w:type="spellEnd"/>
      <w:r w:rsidRPr="00777326">
        <w:rPr>
          <w:rFonts w:cs="Arial"/>
          <w:bCs/>
          <w:iCs/>
        </w:rPr>
        <w:t xml:space="preserve"> S, Crawford M, </w:t>
      </w:r>
      <w:r w:rsidRPr="00777326">
        <w:rPr>
          <w:rFonts w:cs="Arial"/>
          <w:bCs/>
          <w:i/>
          <w:iCs/>
        </w:rPr>
        <w:t>Oral Health Integration in Statewide Delivery System and Payment Reform</w:t>
      </w:r>
      <w:r w:rsidRPr="00777326">
        <w:rPr>
          <w:rFonts w:cs="Arial"/>
          <w:bCs/>
          <w:iCs/>
        </w:rPr>
        <w:t>, Center for Health Care Strategies, Inc. 2016</w:t>
      </w:r>
    </w:p>
    <w:p w14:paraId="053AA6F8" w14:textId="77777777" w:rsidR="00CE4041" w:rsidRPr="00777326" w:rsidRDefault="00CE4041" w:rsidP="00196E86">
      <w:pPr>
        <w:spacing w:line="240" w:lineRule="auto"/>
        <w:rPr>
          <w:rFonts w:cs="Arial"/>
          <w:bCs/>
          <w:iCs/>
        </w:rPr>
      </w:pPr>
      <w:proofErr w:type="spellStart"/>
      <w:r w:rsidRPr="00777326">
        <w:rPr>
          <w:rFonts w:cs="Arial"/>
          <w:bCs/>
          <w:iCs/>
        </w:rPr>
        <w:t>Chazin</w:t>
      </w:r>
      <w:proofErr w:type="spellEnd"/>
      <w:r w:rsidRPr="00777326">
        <w:rPr>
          <w:rFonts w:cs="Arial"/>
          <w:bCs/>
          <w:iCs/>
        </w:rPr>
        <w:t xml:space="preserve"> S, Guerra V, McMahon S, </w:t>
      </w:r>
      <w:r w:rsidRPr="00777326">
        <w:rPr>
          <w:rFonts w:cs="Arial"/>
          <w:bCs/>
          <w:i/>
          <w:iCs/>
        </w:rPr>
        <w:t>Strategies to Improve Dental Benefits for the Medicaid Expansion Population</w:t>
      </w:r>
      <w:r w:rsidRPr="00777326">
        <w:rPr>
          <w:rFonts w:cs="Arial"/>
          <w:bCs/>
          <w:iCs/>
        </w:rPr>
        <w:t>, Center for Health Care Strategies, Inc., 2014.</w:t>
      </w:r>
    </w:p>
    <w:p w14:paraId="362430AA" w14:textId="77777777" w:rsidR="001D4C72" w:rsidRPr="00777326" w:rsidRDefault="001D4C72" w:rsidP="00196E86">
      <w:pPr>
        <w:spacing w:line="240" w:lineRule="auto"/>
        <w:rPr>
          <w:rFonts w:cs="Arial"/>
          <w:bCs/>
          <w:iCs/>
        </w:rPr>
      </w:pPr>
      <w:r w:rsidRPr="00777326">
        <w:rPr>
          <w:rFonts w:cs="Arial"/>
          <w:bCs/>
          <w:iCs/>
        </w:rPr>
        <w:t xml:space="preserve">Cohen L, </w:t>
      </w:r>
      <w:proofErr w:type="spellStart"/>
      <w:r w:rsidRPr="00777326">
        <w:rPr>
          <w:rFonts w:cs="Arial"/>
          <w:bCs/>
          <w:iCs/>
        </w:rPr>
        <w:t>Manski</w:t>
      </w:r>
      <w:proofErr w:type="spellEnd"/>
      <w:r w:rsidRPr="00777326">
        <w:rPr>
          <w:rFonts w:cs="Arial"/>
          <w:bCs/>
          <w:iCs/>
        </w:rPr>
        <w:t xml:space="preserve"> R, </w:t>
      </w:r>
      <w:proofErr w:type="spellStart"/>
      <w:r w:rsidRPr="00777326">
        <w:rPr>
          <w:rFonts w:cs="Arial"/>
          <w:bCs/>
          <w:iCs/>
        </w:rPr>
        <w:t>Magder</w:t>
      </w:r>
      <w:proofErr w:type="spellEnd"/>
      <w:r w:rsidRPr="00777326">
        <w:rPr>
          <w:rFonts w:cs="Arial"/>
          <w:bCs/>
          <w:iCs/>
        </w:rPr>
        <w:t xml:space="preserve"> l, Mullins C, “Dental Visits to Hospital Emergency Departments by Adults Receiving Medicaid, Assessing their Use,” </w:t>
      </w:r>
      <w:r w:rsidRPr="00777326">
        <w:rPr>
          <w:rFonts w:cs="Arial"/>
          <w:bCs/>
          <w:i/>
          <w:iCs/>
        </w:rPr>
        <w:t>Journal of the American Dental Association</w:t>
      </w:r>
      <w:r w:rsidRPr="00777326">
        <w:rPr>
          <w:rFonts w:cs="Arial"/>
          <w:bCs/>
          <w:iCs/>
        </w:rPr>
        <w:t>, vol.133, pgs.715-724.</w:t>
      </w:r>
    </w:p>
    <w:p w14:paraId="256BC8EB" w14:textId="7704668B" w:rsidR="00C53247" w:rsidRPr="00777326" w:rsidRDefault="00C53247" w:rsidP="00196E86">
      <w:pPr>
        <w:spacing w:line="240" w:lineRule="auto"/>
        <w:rPr>
          <w:rFonts w:cs="Arial"/>
          <w:bCs/>
          <w:iCs/>
        </w:rPr>
      </w:pPr>
      <w:r w:rsidRPr="00777326">
        <w:rPr>
          <w:rFonts w:cs="Arial"/>
          <w:bCs/>
          <w:iCs/>
        </w:rPr>
        <w:t xml:space="preserve">Cohn M, “U-Md. teams with hospital to provide dental care for low-income adults,” </w:t>
      </w:r>
      <w:r w:rsidRPr="00777326">
        <w:rPr>
          <w:rFonts w:cs="Arial"/>
          <w:bCs/>
          <w:i/>
          <w:iCs/>
        </w:rPr>
        <w:t>Washington Post</w:t>
      </w:r>
      <w:r w:rsidRPr="00777326">
        <w:rPr>
          <w:rFonts w:cs="Arial"/>
          <w:bCs/>
          <w:iCs/>
        </w:rPr>
        <w:t xml:space="preserve">, August 21, 2016.  </w:t>
      </w:r>
    </w:p>
    <w:p w14:paraId="3307AD13" w14:textId="77777777" w:rsidR="001E2AEC" w:rsidRPr="00777326" w:rsidRDefault="001E2AEC" w:rsidP="00196E86">
      <w:pPr>
        <w:spacing w:line="240" w:lineRule="auto"/>
        <w:rPr>
          <w:rFonts w:cs="Arial"/>
          <w:bCs/>
          <w:iCs/>
        </w:rPr>
      </w:pPr>
      <w:proofErr w:type="spellStart"/>
      <w:r w:rsidRPr="00777326">
        <w:rPr>
          <w:rFonts w:cs="Arial"/>
          <w:bCs/>
          <w:iCs/>
        </w:rPr>
        <w:t>Denti</w:t>
      </w:r>
      <w:proofErr w:type="spellEnd"/>
      <w:r w:rsidRPr="00777326">
        <w:rPr>
          <w:rFonts w:cs="Arial"/>
          <w:bCs/>
          <w:iCs/>
        </w:rPr>
        <w:t xml:space="preserve">-Cal Bulletin, </w:t>
      </w:r>
      <w:r w:rsidR="005F2230" w:rsidRPr="00777326">
        <w:rPr>
          <w:rFonts w:cs="Arial"/>
          <w:bCs/>
          <w:iCs/>
        </w:rPr>
        <w:t>“</w:t>
      </w:r>
      <w:r w:rsidRPr="00777326">
        <w:rPr>
          <w:rFonts w:cs="Arial"/>
          <w:bCs/>
          <w:iCs/>
        </w:rPr>
        <w:t>Elimination of Most Adult Dental Services,</w:t>
      </w:r>
      <w:r w:rsidR="005F2230" w:rsidRPr="00777326">
        <w:rPr>
          <w:rFonts w:cs="Arial"/>
          <w:bCs/>
          <w:iCs/>
        </w:rPr>
        <w:t xml:space="preserve">” </w:t>
      </w:r>
      <w:proofErr w:type="spellStart"/>
      <w:r w:rsidR="005F2230" w:rsidRPr="00777326">
        <w:rPr>
          <w:rFonts w:cs="Arial"/>
          <w:bCs/>
          <w:i/>
          <w:iCs/>
        </w:rPr>
        <w:t>Denti</w:t>
      </w:r>
      <w:proofErr w:type="spellEnd"/>
      <w:r w:rsidR="005F2230" w:rsidRPr="00777326">
        <w:rPr>
          <w:rFonts w:cs="Arial"/>
          <w:bCs/>
          <w:i/>
          <w:iCs/>
        </w:rPr>
        <w:t>-Cal Bulletin</w:t>
      </w:r>
      <w:r w:rsidR="005F2230" w:rsidRPr="00777326">
        <w:rPr>
          <w:rFonts w:cs="Arial"/>
          <w:bCs/>
          <w:iCs/>
        </w:rPr>
        <w:t xml:space="preserve">, 2009, vol.25, no.22. </w:t>
      </w:r>
    </w:p>
    <w:p w14:paraId="4887733D" w14:textId="45A37642" w:rsidR="005F14DA" w:rsidRPr="00777326" w:rsidRDefault="005F14DA" w:rsidP="00196E86">
      <w:pPr>
        <w:spacing w:line="240" w:lineRule="auto"/>
        <w:rPr>
          <w:rFonts w:cs="Arial"/>
          <w:iCs/>
          <w:lang w:val="en"/>
        </w:rPr>
      </w:pPr>
      <w:r w:rsidRPr="00777326">
        <w:rPr>
          <w:rFonts w:cs="Arial"/>
        </w:rPr>
        <w:t xml:space="preserve">DHHS Oral Health Coordinating Committee, </w:t>
      </w:r>
      <w:r w:rsidRPr="00777326">
        <w:rPr>
          <w:rFonts w:cs="Arial"/>
          <w:i/>
        </w:rPr>
        <w:t>Oral Health Strategic Framework 2014-2017</w:t>
      </w:r>
      <w:r w:rsidRPr="00777326">
        <w:rPr>
          <w:rFonts w:cs="Arial"/>
        </w:rPr>
        <w:t>, Accessed May 2016</w:t>
      </w:r>
      <w:r w:rsidR="00CE4122">
        <w:rPr>
          <w:rFonts w:cs="Arial"/>
        </w:rPr>
        <w:t>.</w:t>
      </w:r>
      <w:r w:rsidRPr="00777326">
        <w:rPr>
          <w:rFonts w:cs="Arial"/>
        </w:rPr>
        <w:t xml:space="preserve"> </w:t>
      </w:r>
    </w:p>
    <w:p w14:paraId="0F5CD3FD" w14:textId="1E882C58" w:rsidR="0055104A" w:rsidRPr="00777326" w:rsidRDefault="0055104A" w:rsidP="00196E86">
      <w:pPr>
        <w:spacing w:line="240" w:lineRule="auto"/>
        <w:rPr>
          <w:rFonts w:cs="Arial"/>
          <w:bCs/>
          <w:iCs/>
        </w:rPr>
      </w:pPr>
      <w:r w:rsidRPr="00777326">
        <w:rPr>
          <w:rFonts w:cs="Arial"/>
          <w:bCs/>
          <w:iCs/>
        </w:rPr>
        <w:t>DHHS, Health Resources and Services Administration,</w:t>
      </w:r>
      <w:r w:rsidR="00685602" w:rsidRPr="00777326">
        <w:rPr>
          <w:rFonts w:cs="Arial"/>
          <w:bCs/>
          <w:iCs/>
        </w:rPr>
        <w:t xml:space="preserve"> (a)</w:t>
      </w:r>
      <w:r w:rsidRPr="00777326">
        <w:rPr>
          <w:rFonts w:cs="Arial"/>
          <w:bCs/>
          <w:iCs/>
        </w:rPr>
        <w:t xml:space="preserve"> </w:t>
      </w:r>
      <w:proofErr w:type="gramStart"/>
      <w:r w:rsidRPr="00777326">
        <w:rPr>
          <w:rFonts w:cs="Arial"/>
          <w:bCs/>
          <w:i/>
          <w:iCs/>
        </w:rPr>
        <w:t>What</w:t>
      </w:r>
      <w:proofErr w:type="gramEnd"/>
      <w:r w:rsidRPr="00777326">
        <w:rPr>
          <w:rFonts w:cs="Arial"/>
          <w:bCs/>
          <w:i/>
          <w:iCs/>
        </w:rPr>
        <w:t xml:space="preserve"> is a Health Center? </w:t>
      </w:r>
      <w:proofErr w:type="gramStart"/>
      <w:r w:rsidR="00CE4122" w:rsidRPr="00CE4122">
        <w:rPr>
          <w:rFonts w:cs="Arial"/>
          <w:bCs/>
          <w:iCs/>
        </w:rPr>
        <w:t>A</w:t>
      </w:r>
      <w:r w:rsidRPr="00777326">
        <w:rPr>
          <w:rFonts w:cs="Arial"/>
          <w:bCs/>
          <w:iCs/>
        </w:rPr>
        <w:t>ccessed August 11, 2016.</w:t>
      </w:r>
      <w:proofErr w:type="gramEnd"/>
    </w:p>
    <w:p w14:paraId="773D48CE" w14:textId="2F4CBFE5" w:rsidR="007A1257" w:rsidRPr="00777326" w:rsidRDefault="007A1257" w:rsidP="00196E86">
      <w:pPr>
        <w:spacing w:line="240" w:lineRule="auto"/>
        <w:rPr>
          <w:rFonts w:cs="Arial"/>
          <w:bCs/>
          <w:iCs/>
        </w:rPr>
      </w:pPr>
      <w:r w:rsidRPr="00777326">
        <w:rPr>
          <w:rFonts w:cs="Arial"/>
          <w:bCs/>
          <w:iCs/>
        </w:rPr>
        <w:lastRenderedPageBreak/>
        <w:t>DHHS, Health Resources and Services Administration,</w:t>
      </w:r>
      <w:r w:rsidR="00685602" w:rsidRPr="00777326">
        <w:rPr>
          <w:rFonts w:cs="Arial"/>
          <w:bCs/>
          <w:iCs/>
        </w:rPr>
        <w:t xml:space="preserve"> (b)</w:t>
      </w:r>
      <w:r w:rsidRPr="00777326">
        <w:rPr>
          <w:rFonts w:cs="Arial"/>
          <w:bCs/>
          <w:iCs/>
        </w:rPr>
        <w:t xml:space="preserve"> </w:t>
      </w:r>
      <w:r w:rsidRPr="00777326">
        <w:rPr>
          <w:rFonts w:cs="Arial"/>
          <w:bCs/>
          <w:i/>
          <w:iCs/>
        </w:rPr>
        <w:t xml:space="preserve">HHS Awards $156 Million to Health Centers to Expand Oral Health Services, </w:t>
      </w:r>
      <w:r w:rsidR="00CE4122">
        <w:rPr>
          <w:rFonts w:cs="Arial"/>
          <w:bCs/>
          <w:iCs/>
        </w:rPr>
        <w:t xml:space="preserve">June 16, 2016. </w:t>
      </w:r>
      <w:proofErr w:type="gramStart"/>
      <w:r w:rsidR="00CE4122">
        <w:rPr>
          <w:rFonts w:cs="Arial"/>
          <w:bCs/>
          <w:iCs/>
        </w:rPr>
        <w:t xml:space="preserve">Accessed August 11, </w:t>
      </w:r>
      <w:r w:rsidRPr="00777326">
        <w:rPr>
          <w:rFonts w:cs="Arial"/>
          <w:bCs/>
          <w:iCs/>
        </w:rPr>
        <w:t>2016.</w:t>
      </w:r>
      <w:proofErr w:type="gramEnd"/>
      <w:r w:rsidRPr="00777326">
        <w:rPr>
          <w:rFonts w:cs="Arial"/>
          <w:bCs/>
          <w:iCs/>
        </w:rPr>
        <w:t xml:space="preserve"> </w:t>
      </w:r>
    </w:p>
    <w:p w14:paraId="051EF403" w14:textId="77777777" w:rsidR="001D4C72" w:rsidRPr="00777326" w:rsidRDefault="001D4C72" w:rsidP="00196E86">
      <w:pPr>
        <w:spacing w:line="240" w:lineRule="auto"/>
        <w:rPr>
          <w:rFonts w:cs="Arial"/>
          <w:bCs/>
          <w:iCs/>
        </w:rPr>
      </w:pPr>
      <w:r w:rsidRPr="00777326">
        <w:rPr>
          <w:rFonts w:cs="Arial"/>
          <w:bCs/>
          <w:iCs/>
        </w:rPr>
        <w:t xml:space="preserve">DHHS, Health Resources and Services Administration, </w:t>
      </w:r>
      <w:r w:rsidRPr="00777326">
        <w:rPr>
          <w:rFonts w:cs="Arial"/>
          <w:bCs/>
          <w:i/>
          <w:iCs/>
        </w:rPr>
        <w:t>Integration of Oral Health and Primary Care Practice</w:t>
      </w:r>
      <w:r w:rsidRPr="00777326">
        <w:rPr>
          <w:rFonts w:cs="Arial"/>
          <w:bCs/>
          <w:iCs/>
        </w:rPr>
        <w:t>, 2014.</w:t>
      </w:r>
    </w:p>
    <w:p w14:paraId="0F83BD3B" w14:textId="44626DEC" w:rsidR="002D708F" w:rsidRPr="00777326" w:rsidRDefault="002D708F" w:rsidP="00196E86">
      <w:pPr>
        <w:spacing w:line="240" w:lineRule="auto"/>
        <w:rPr>
          <w:rStyle w:val="Hyperlink"/>
          <w:rFonts w:cs="Arial"/>
        </w:rPr>
      </w:pPr>
      <w:r w:rsidRPr="00777326">
        <w:rPr>
          <w:rFonts w:cs="Arial"/>
        </w:rPr>
        <w:t xml:space="preserve">DHHS, </w:t>
      </w:r>
      <w:r w:rsidRPr="00777326">
        <w:rPr>
          <w:rFonts w:cs="Arial"/>
          <w:i/>
        </w:rPr>
        <w:t>Health United States, 2014</w:t>
      </w:r>
      <w:r w:rsidRPr="00777326">
        <w:rPr>
          <w:rFonts w:cs="Arial"/>
        </w:rPr>
        <w:t xml:space="preserve">. </w:t>
      </w:r>
      <w:proofErr w:type="gramStart"/>
      <w:r w:rsidRPr="00777326">
        <w:rPr>
          <w:rFonts w:cs="Arial"/>
        </w:rPr>
        <w:t>Accessed July 2016</w:t>
      </w:r>
      <w:r w:rsidR="00CE4122">
        <w:rPr>
          <w:rFonts w:cs="Arial"/>
        </w:rPr>
        <w:t>.</w:t>
      </w:r>
      <w:proofErr w:type="gramEnd"/>
      <w:r w:rsidRPr="00777326">
        <w:rPr>
          <w:rFonts w:cs="Arial"/>
        </w:rPr>
        <w:t xml:space="preserve"> </w:t>
      </w:r>
    </w:p>
    <w:p w14:paraId="4BFF455E" w14:textId="6F332196" w:rsidR="005F14DA" w:rsidRPr="00777326" w:rsidRDefault="005F14DA" w:rsidP="00196E86">
      <w:pPr>
        <w:pStyle w:val="Default"/>
        <w:rPr>
          <w:rFonts w:asciiTheme="minorHAnsi" w:hAnsiTheme="minorHAnsi" w:cs="Arial"/>
          <w:sz w:val="22"/>
          <w:szCs w:val="22"/>
        </w:rPr>
      </w:pPr>
      <w:proofErr w:type="gramStart"/>
      <w:r w:rsidRPr="00777326">
        <w:rPr>
          <w:rFonts w:asciiTheme="minorHAnsi" w:hAnsiTheme="minorHAnsi" w:cs="Arial"/>
          <w:sz w:val="22"/>
          <w:szCs w:val="22"/>
        </w:rPr>
        <w:t xml:space="preserve">DHHS, </w:t>
      </w:r>
      <w:r w:rsidRPr="00777326">
        <w:rPr>
          <w:rFonts w:asciiTheme="minorHAnsi" w:hAnsiTheme="minorHAnsi" w:cs="Arial"/>
          <w:i/>
          <w:sz w:val="22"/>
          <w:szCs w:val="22"/>
        </w:rPr>
        <w:t>Older Americans 2012, Key Indicators of Well-being</w:t>
      </w:r>
      <w:r w:rsidRPr="00777326">
        <w:rPr>
          <w:rFonts w:asciiTheme="minorHAnsi" w:hAnsiTheme="minorHAnsi" w:cs="Arial"/>
          <w:sz w:val="22"/>
          <w:szCs w:val="22"/>
        </w:rPr>
        <w:t>.</w:t>
      </w:r>
      <w:proofErr w:type="gramEnd"/>
      <w:r w:rsidRPr="00777326">
        <w:rPr>
          <w:rFonts w:asciiTheme="minorHAnsi" w:hAnsiTheme="minorHAnsi" w:cs="Arial"/>
          <w:sz w:val="22"/>
          <w:szCs w:val="22"/>
        </w:rPr>
        <w:t xml:space="preserve"> </w:t>
      </w:r>
      <w:r w:rsidR="00CE4122">
        <w:rPr>
          <w:rFonts w:asciiTheme="minorHAnsi" w:hAnsiTheme="minorHAnsi" w:cs="Arial"/>
          <w:sz w:val="22"/>
          <w:szCs w:val="22"/>
        </w:rPr>
        <w:t xml:space="preserve"> </w:t>
      </w:r>
      <w:proofErr w:type="gramStart"/>
      <w:r w:rsidRPr="00777326">
        <w:rPr>
          <w:rFonts w:asciiTheme="minorHAnsi" w:hAnsiTheme="minorHAnsi" w:cs="Arial"/>
          <w:sz w:val="22"/>
          <w:szCs w:val="22"/>
        </w:rPr>
        <w:t>Accessed on July 5, 2016.</w:t>
      </w:r>
      <w:proofErr w:type="gramEnd"/>
      <w:r w:rsidRPr="00777326">
        <w:rPr>
          <w:rFonts w:asciiTheme="minorHAnsi" w:hAnsiTheme="minorHAnsi" w:cs="Arial"/>
          <w:sz w:val="22"/>
          <w:szCs w:val="22"/>
        </w:rPr>
        <w:t xml:space="preserve"> </w:t>
      </w:r>
    </w:p>
    <w:p w14:paraId="1B150530" w14:textId="77777777" w:rsidR="00997F54" w:rsidRPr="00777326" w:rsidRDefault="00997F54" w:rsidP="00196E86">
      <w:pPr>
        <w:pStyle w:val="Default"/>
        <w:rPr>
          <w:rFonts w:asciiTheme="minorHAnsi" w:hAnsiTheme="minorHAnsi" w:cs="Arial"/>
          <w:sz w:val="22"/>
          <w:szCs w:val="22"/>
        </w:rPr>
      </w:pPr>
    </w:p>
    <w:p w14:paraId="1074B458" w14:textId="08A8DA22" w:rsidR="002A352A" w:rsidRPr="00777326" w:rsidRDefault="002A352A" w:rsidP="00196E86">
      <w:pPr>
        <w:spacing w:line="240" w:lineRule="auto"/>
        <w:rPr>
          <w:rFonts w:cs="Arial"/>
        </w:rPr>
      </w:pPr>
      <w:r w:rsidRPr="00777326">
        <w:rPr>
          <w:rFonts w:cs="Arial"/>
        </w:rPr>
        <w:t xml:space="preserve">Eke P, Wei L, </w:t>
      </w:r>
      <w:proofErr w:type="spellStart"/>
      <w:r w:rsidRPr="00777326">
        <w:rPr>
          <w:rFonts w:cs="Arial"/>
        </w:rPr>
        <w:t>Borgnakke</w:t>
      </w:r>
      <w:proofErr w:type="spellEnd"/>
      <w:r w:rsidRPr="00777326">
        <w:rPr>
          <w:rFonts w:cs="Arial"/>
        </w:rPr>
        <w:t xml:space="preserve"> W, Thornton-Evans G, Zhang X, Lu H, </w:t>
      </w:r>
      <w:proofErr w:type="spellStart"/>
      <w:r w:rsidRPr="00777326">
        <w:rPr>
          <w:rFonts w:cs="Arial"/>
        </w:rPr>
        <w:t>McGurie</w:t>
      </w:r>
      <w:proofErr w:type="spellEnd"/>
      <w:r w:rsidRPr="00777326">
        <w:rPr>
          <w:rFonts w:cs="Arial"/>
        </w:rPr>
        <w:t xml:space="preserve"> L, </w:t>
      </w:r>
      <w:proofErr w:type="spellStart"/>
      <w:r w:rsidRPr="00777326">
        <w:rPr>
          <w:rFonts w:cs="Arial"/>
        </w:rPr>
        <w:t>Genco</w:t>
      </w:r>
      <w:proofErr w:type="spellEnd"/>
      <w:r w:rsidRPr="00777326">
        <w:rPr>
          <w:rFonts w:cs="Arial"/>
        </w:rPr>
        <w:t xml:space="preserve"> R, “Periodontitis Prevalence in Adults</w:t>
      </w:r>
      <w:r w:rsidR="007743F3" w:rsidRPr="00777326">
        <w:rPr>
          <w:rFonts w:cs="Arial"/>
        </w:rPr>
        <w:t xml:space="preserve"> ≥ 65 Years of Age,</w:t>
      </w:r>
      <w:r w:rsidRPr="00777326">
        <w:rPr>
          <w:rFonts w:cs="Arial"/>
        </w:rPr>
        <w:t xml:space="preserve"> in the USA,” </w:t>
      </w:r>
      <w:r w:rsidRPr="00777326">
        <w:rPr>
          <w:rFonts w:cs="Arial"/>
          <w:i/>
        </w:rPr>
        <w:t>Periodontology 2000</w:t>
      </w:r>
      <w:r w:rsidR="00A04FE5" w:rsidRPr="00777326">
        <w:rPr>
          <w:rFonts w:cs="Arial"/>
        </w:rPr>
        <w:t xml:space="preserve">, 2016, vol.72, no.1, pgs. </w:t>
      </w:r>
      <w:proofErr w:type="gramStart"/>
      <w:r w:rsidR="00A04FE5" w:rsidRPr="00777326">
        <w:rPr>
          <w:rFonts w:cs="Arial"/>
        </w:rPr>
        <w:t>76-95</w:t>
      </w:r>
      <w:r w:rsidRPr="00777326">
        <w:rPr>
          <w:rFonts w:cs="Arial"/>
        </w:rPr>
        <w:t>.</w:t>
      </w:r>
      <w:proofErr w:type="gramEnd"/>
      <w:r w:rsidRPr="00777326">
        <w:rPr>
          <w:rFonts w:cs="Arial"/>
        </w:rPr>
        <w:t xml:space="preserve"> </w:t>
      </w:r>
    </w:p>
    <w:p w14:paraId="68374665" w14:textId="77777777" w:rsidR="005D57D6" w:rsidRPr="00777326" w:rsidRDefault="005D57D6" w:rsidP="00196E86">
      <w:pPr>
        <w:spacing w:line="240" w:lineRule="auto"/>
        <w:rPr>
          <w:rFonts w:cs="Arial"/>
        </w:rPr>
      </w:pPr>
      <w:r w:rsidRPr="00777326">
        <w:rPr>
          <w:rFonts w:cs="Arial"/>
        </w:rPr>
        <w:t xml:space="preserve">Eke P, Dye B, Wei L, Thornton-Evans G, </w:t>
      </w:r>
      <w:proofErr w:type="spellStart"/>
      <w:r w:rsidRPr="00777326">
        <w:rPr>
          <w:rFonts w:cs="Arial"/>
        </w:rPr>
        <w:t>Genco</w:t>
      </w:r>
      <w:proofErr w:type="spellEnd"/>
      <w:r w:rsidRPr="00777326">
        <w:rPr>
          <w:rFonts w:cs="Arial"/>
        </w:rPr>
        <w:t xml:space="preserve"> R, “Prevalence of Periodontitis in Adults in the United States: 2009 and 2010,” </w:t>
      </w:r>
      <w:r w:rsidRPr="00777326">
        <w:rPr>
          <w:rFonts w:cs="Arial"/>
          <w:i/>
        </w:rPr>
        <w:t>Journal of Dental Research</w:t>
      </w:r>
      <w:r w:rsidRPr="00777326">
        <w:rPr>
          <w:rFonts w:cs="Arial"/>
        </w:rPr>
        <w:t xml:space="preserve">, 2012, vol.91, no.10, pgs.914-920. </w:t>
      </w:r>
    </w:p>
    <w:p w14:paraId="2B9473E6" w14:textId="77777777" w:rsidR="007C1E09" w:rsidRPr="00777326" w:rsidRDefault="007C1E09" w:rsidP="00196E86">
      <w:pPr>
        <w:spacing w:line="240" w:lineRule="auto"/>
        <w:rPr>
          <w:rFonts w:cs="Arial"/>
          <w:bCs/>
          <w:iCs/>
        </w:rPr>
      </w:pPr>
      <w:r w:rsidRPr="00777326">
        <w:rPr>
          <w:rFonts w:cs="Arial"/>
          <w:bCs/>
          <w:iCs/>
        </w:rPr>
        <w:t xml:space="preserve">Federal Interagency Forum on Aging Related Statistics, 2016 Older Americans Key Indicators of Well-Being, </w:t>
      </w:r>
    </w:p>
    <w:p w14:paraId="792F04E9" w14:textId="77777777" w:rsidR="001D4C72" w:rsidRPr="00777326" w:rsidRDefault="001D4C72" w:rsidP="00196E86">
      <w:pPr>
        <w:spacing w:line="240" w:lineRule="auto"/>
        <w:rPr>
          <w:rFonts w:cs="Arial"/>
          <w:bCs/>
          <w:iCs/>
        </w:rPr>
      </w:pPr>
      <w:r w:rsidRPr="00777326">
        <w:rPr>
          <w:rFonts w:cs="Arial"/>
          <w:bCs/>
          <w:iCs/>
        </w:rPr>
        <w:t xml:space="preserve">Fisher-Owens S, Barker J, Adams S, Chung L, </w:t>
      </w:r>
      <w:proofErr w:type="spellStart"/>
      <w:r w:rsidRPr="00777326">
        <w:rPr>
          <w:rFonts w:cs="Arial"/>
          <w:bCs/>
          <w:iCs/>
        </w:rPr>
        <w:t>GanskyS</w:t>
      </w:r>
      <w:proofErr w:type="spellEnd"/>
      <w:r w:rsidRPr="00777326">
        <w:rPr>
          <w:rFonts w:cs="Arial"/>
          <w:bCs/>
          <w:iCs/>
        </w:rPr>
        <w:t>, Hyde S, Weintraub J, “Giving Policy Some Teeth: Routes to Reducing Disparities in Oral Health,” Health Affairs, 2008, vol.27, no.2, pgs.404-412.</w:t>
      </w:r>
    </w:p>
    <w:p w14:paraId="1BDC4DFE" w14:textId="77777777" w:rsidR="001D4C72" w:rsidRPr="00777326" w:rsidRDefault="001D4C72" w:rsidP="00196E86">
      <w:pPr>
        <w:spacing w:line="240" w:lineRule="auto"/>
        <w:rPr>
          <w:rFonts w:cs="Arial"/>
          <w:bCs/>
          <w:iCs/>
        </w:rPr>
      </w:pPr>
      <w:r w:rsidRPr="00777326">
        <w:rPr>
          <w:rFonts w:cs="Arial"/>
          <w:bCs/>
          <w:iCs/>
        </w:rPr>
        <w:t xml:space="preserve">Griffin S, Jones J, Brunson D, Griffin P, Bailey W, “ Burden of Oral Disease among Older Adults and Implication for Public Health Priorities,” </w:t>
      </w:r>
      <w:r w:rsidRPr="00777326">
        <w:rPr>
          <w:rFonts w:cs="Arial"/>
          <w:bCs/>
          <w:i/>
          <w:iCs/>
        </w:rPr>
        <w:t>American Journal of Public Health</w:t>
      </w:r>
      <w:r w:rsidRPr="00777326">
        <w:rPr>
          <w:rFonts w:cs="Arial"/>
          <w:bCs/>
          <w:iCs/>
        </w:rPr>
        <w:t xml:space="preserve">, 2012, vol.102, no.3, pgs.411-418. </w:t>
      </w:r>
    </w:p>
    <w:p w14:paraId="6DA8B9C0" w14:textId="77777777" w:rsidR="001D4C72" w:rsidRPr="00777326" w:rsidRDefault="001D4C72" w:rsidP="00196E86">
      <w:pPr>
        <w:spacing w:line="240" w:lineRule="auto"/>
        <w:rPr>
          <w:rFonts w:cs="Arial"/>
          <w:bCs/>
          <w:iCs/>
        </w:rPr>
      </w:pPr>
      <w:proofErr w:type="spellStart"/>
      <w:r w:rsidRPr="00777326">
        <w:rPr>
          <w:rFonts w:cs="Arial"/>
          <w:bCs/>
          <w:iCs/>
        </w:rPr>
        <w:t>Jeffcoat</w:t>
      </w:r>
      <w:proofErr w:type="spellEnd"/>
      <w:r w:rsidRPr="00777326">
        <w:rPr>
          <w:rFonts w:cs="Arial"/>
          <w:bCs/>
          <w:iCs/>
        </w:rPr>
        <w:t xml:space="preserve"> M, </w:t>
      </w:r>
      <w:proofErr w:type="spellStart"/>
      <w:r w:rsidRPr="00777326">
        <w:rPr>
          <w:rFonts w:cs="Arial"/>
          <w:bCs/>
          <w:iCs/>
        </w:rPr>
        <w:t>Jeffcoat</w:t>
      </w:r>
      <w:proofErr w:type="spellEnd"/>
      <w:r w:rsidRPr="00777326">
        <w:rPr>
          <w:rFonts w:cs="Arial"/>
          <w:bCs/>
          <w:iCs/>
        </w:rPr>
        <w:t xml:space="preserve"> R, </w:t>
      </w:r>
      <w:proofErr w:type="spellStart"/>
      <w:r w:rsidRPr="00777326">
        <w:rPr>
          <w:rFonts w:cs="Arial"/>
          <w:bCs/>
          <w:iCs/>
        </w:rPr>
        <w:t>Gladowski</w:t>
      </w:r>
      <w:proofErr w:type="spellEnd"/>
      <w:r w:rsidRPr="00777326">
        <w:rPr>
          <w:rFonts w:cs="Arial"/>
          <w:bCs/>
          <w:iCs/>
        </w:rPr>
        <w:t xml:space="preserve"> P, </w:t>
      </w:r>
      <w:proofErr w:type="spellStart"/>
      <w:r w:rsidRPr="00777326">
        <w:rPr>
          <w:rFonts w:cs="Arial"/>
          <w:bCs/>
          <w:iCs/>
        </w:rPr>
        <w:t>Bramson</w:t>
      </w:r>
      <w:proofErr w:type="spellEnd"/>
      <w:r w:rsidRPr="00777326">
        <w:rPr>
          <w:rFonts w:cs="Arial"/>
          <w:bCs/>
          <w:iCs/>
        </w:rPr>
        <w:t xml:space="preserve"> J, </w:t>
      </w:r>
      <w:proofErr w:type="spellStart"/>
      <w:r w:rsidRPr="00777326">
        <w:rPr>
          <w:rFonts w:cs="Arial"/>
          <w:bCs/>
          <w:iCs/>
        </w:rPr>
        <w:t>BlumJ</w:t>
      </w:r>
      <w:proofErr w:type="spellEnd"/>
      <w:r w:rsidRPr="00777326">
        <w:rPr>
          <w:rFonts w:cs="Arial"/>
          <w:bCs/>
          <w:iCs/>
        </w:rPr>
        <w:t xml:space="preserve">, “Impact of Periodontal Therapy on General Health, Evidence from Insurance Data for Five Systemic Conditions,” </w:t>
      </w:r>
      <w:r w:rsidRPr="00777326">
        <w:rPr>
          <w:rFonts w:cs="Arial"/>
          <w:bCs/>
          <w:i/>
          <w:iCs/>
        </w:rPr>
        <w:t>American Journal of Preventive Medicine</w:t>
      </w:r>
      <w:r w:rsidRPr="00777326">
        <w:rPr>
          <w:rFonts w:cs="Arial"/>
          <w:bCs/>
          <w:iCs/>
        </w:rPr>
        <w:t xml:space="preserve">, 2014, vol.47, no.2, pgs. </w:t>
      </w:r>
      <w:proofErr w:type="gramStart"/>
      <w:r w:rsidRPr="00777326">
        <w:rPr>
          <w:rFonts w:cs="Arial"/>
          <w:bCs/>
          <w:iCs/>
        </w:rPr>
        <w:t>166-174.</w:t>
      </w:r>
      <w:proofErr w:type="gramEnd"/>
      <w:r w:rsidRPr="00777326">
        <w:rPr>
          <w:rFonts w:cs="Arial"/>
          <w:bCs/>
          <w:iCs/>
        </w:rPr>
        <w:t xml:space="preserve"> </w:t>
      </w:r>
    </w:p>
    <w:p w14:paraId="7CEAE897" w14:textId="77777777" w:rsidR="001D4C72" w:rsidRPr="00777326" w:rsidRDefault="001D4C72" w:rsidP="00196E86">
      <w:pPr>
        <w:spacing w:line="240" w:lineRule="auto"/>
        <w:rPr>
          <w:rFonts w:cs="Arial"/>
          <w:bCs/>
          <w:iCs/>
        </w:rPr>
      </w:pPr>
      <w:r w:rsidRPr="00777326">
        <w:rPr>
          <w:rFonts w:cs="Arial"/>
          <w:bCs/>
          <w:iCs/>
        </w:rPr>
        <w:t xml:space="preserve">Horner-Johnson W, </w:t>
      </w:r>
      <w:proofErr w:type="spellStart"/>
      <w:r w:rsidRPr="00777326">
        <w:rPr>
          <w:rFonts w:cs="Arial"/>
          <w:bCs/>
          <w:iCs/>
        </w:rPr>
        <w:t>Dobbertin</w:t>
      </w:r>
      <w:proofErr w:type="spellEnd"/>
      <w:r w:rsidRPr="00777326">
        <w:rPr>
          <w:rFonts w:cs="Arial"/>
          <w:bCs/>
          <w:iCs/>
        </w:rPr>
        <w:t xml:space="preserve"> K, “Dental Insurance and Dental Care among Working-age Adults: Differences by Type and Complexity of Disability,” </w:t>
      </w:r>
      <w:r w:rsidRPr="00777326">
        <w:rPr>
          <w:rFonts w:cs="Arial"/>
          <w:bCs/>
          <w:i/>
          <w:iCs/>
        </w:rPr>
        <w:t>Journal of Public Health Dentistry</w:t>
      </w:r>
      <w:r w:rsidRPr="00777326">
        <w:rPr>
          <w:rFonts w:cs="Arial"/>
          <w:bCs/>
          <w:iCs/>
        </w:rPr>
        <w:t xml:space="preserve">, March 2016. </w:t>
      </w:r>
    </w:p>
    <w:p w14:paraId="5AE9F425" w14:textId="179C79B8" w:rsidR="005D57D6" w:rsidRPr="00777326" w:rsidRDefault="005D57D6" w:rsidP="00196E86">
      <w:pPr>
        <w:spacing w:line="240" w:lineRule="auto"/>
        <w:rPr>
          <w:rFonts w:cs="Arial"/>
        </w:rPr>
      </w:pPr>
      <w:r w:rsidRPr="00777326">
        <w:rPr>
          <w:rFonts w:cs="Arial"/>
        </w:rPr>
        <w:t xml:space="preserve">Hummel J, Phillips K, Holt B, Hayes C, </w:t>
      </w:r>
      <w:r w:rsidRPr="00777326">
        <w:rPr>
          <w:rFonts w:cs="Arial"/>
          <w:i/>
        </w:rPr>
        <w:t>Oral Health: An Essential component of Primary Care</w:t>
      </w:r>
      <w:r w:rsidRPr="00777326">
        <w:rPr>
          <w:rFonts w:cs="Arial"/>
        </w:rPr>
        <w:t xml:space="preserve">, </w:t>
      </w:r>
      <w:proofErr w:type="spellStart"/>
      <w:r w:rsidRPr="00777326">
        <w:rPr>
          <w:rFonts w:cs="Arial"/>
        </w:rPr>
        <w:t>Qualis</w:t>
      </w:r>
      <w:proofErr w:type="spellEnd"/>
      <w:r w:rsidRPr="00777326">
        <w:rPr>
          <w:rFonts w:cs="Arial"/>
        </w:rPr>
        <w:t xml:space="preserve"> Health, 2015.  </w:t>
      </w:r>
    </w:p>
    <w:p w14:paraId="5C48230E" w14:textId="2ED2229D" w:rsidR="00997F54" w:rsidRPr="00777326" w:rsidRDefault="00997F54" w:rsidP="00196E86">
      <w:pPr>
        <w:spacing w:line="240" w:lineRule="auto"/>
        <w:rPr>
          <w:rFonts w:cs="Arial"/>
        </w:rPr>
      </w:pPr>
      <w:r w:rsidRPr="00777326">
        <w:rPr>
          <w:rFonts w:cs="Arial"/>
        </w:rPr>
        <w:t xml:space="preserve">Institute of Medicine of the National Academies, </w:t>
      </w:r>
      <w:r w:rsidRPr="00777326">
        <w:rPr>
          <w:rFonts w:cs="Arial"/>
          <w:i/>
        </w:rPr>
        <w:t>Advancing Oral Health in America, 2011</w:t>
      </w:r>
      <w:r w:rsidRPr="00777326">
        <w:rPr>
          <w:rFonts w:cs="Arial"/>
        </w:rPr>
        <w:t>, accessed July 2016</w:t>
      </w:r>
      <w:r w:rsidR="00CE4122">
        <w:rPr>
          <w:rFonts w:cs="Arial"/>
        </w:rPr>
        <w:t>.</w:t>
      </w:r>
      <w:r w:rsidRPr="00777326">
        <w:rPr>
          <w:rFonts w:cs="Arial"/>
        </w:rPr>
        <w:t xml:space="preserve"> </w:t>
      </w:r>
    </w:p>
    <w:p w14:paraId="5675B457" w14:textId="77777777" w:rsidR="00097264" w:rsidRPr="00777326" w:rsidRDefault="00097264" w:rsidP="00097264">
      <w:pPr>
        <w:spacing w:line="240" w:lineRule="auto"/>
        <w:rPr>
          <w:rFonts w:cs="Arial"/>
          <w:bCs/>
          <w:iCs/>
        </w:rPr>
      </w:pPr>
      <w:proofErr w:type="spellStart"/>
      <w:r w:rsidRPr="00777326">
        <w:rPr>
          <w:rFonts w:cs="Arial"/>
          <w:bCs/>
          <w:iCs/>
        </w:rPr>
        <w:t>Kowlessar</w:t>
      </w:r>
      <w:proofErr w:type="spellEnd"/>
      <w:r w:rsidRPr="00777326">
        <w:rPr>
          <w:rFonts w:cs="Arial"/>
          <w:bCs/>
          <w:iCs/>
        </w:rPr>
        <w:t xml:space="preserve"> N, </w:t>
      </w:r>
      <w:proofErr w:type="spellStart"/>
      <w:r w:rsidRPr="00777326">
        <w:rPr>
          <w:rFonts w:cs="Arial"/>
          <w:bCs/>
          <w:iCs/>
        </w:rPr>
        <w:t>RobinsonK</w:t>
      </w:r>
      <w:proofErr w:type="spellEnd"/>
      <w:r w:rsidRPr="00777326">
        <w:rPr>
          <w:rFonts w:cs="Arial"/>
          <w:bCs/>
          <w:iCs/>
        </w:rPr>
        <w:t xml:space="preserve">, </w:t>
      </w:r>
      <w:proofErr w:type="spellStart"/>
      <w:r w:rsidRPr="00777326">
        <w:rPr>
          <w:rFonts w:cs="Arial"/>
          <w:bCs/>
          <w:iCs/>
        </w:rPr>
        <w:t>Schur</w:t>
      </w:r>
      <w:proofErr w:type="spellEnd"/>
      <w:r w:rsidRPr="00777326">
        <w:rPr>
          <w:rFonts w:cs="Arial"/>
          <w:bCs/>
          <w:iCs/>
        </w:rPr>
        <w:t xml:space="preserve"> C “Older Americans Benefit from Older Americans Act Nutrition Programs, Research Brief, no.8, September 2015  Administration for Community Living.</w:t>
      </w:r>
    </w:p>
    <w:p w14:paraId="7C9448CA" w14:textId="77777777" w:rsidR="005D57D6" w:rsidRPr="00777326" w:rsidRDefault="005D57D6" w:rsidP="00196E86">
      <w:pPr>
        <w:spacing w:line="240" w:lineRule="auto"/>
        <w:rPr>
          <w:rFonts w:cs="Arial"/>
          <w:iCs/>
        </w:rPr>
      </w:pPr>
      <w:proofErr w:type="spellStart"/>
      <w:r w:rsidRPr="00777326">
        <w:rPr>
          <w:rFonts w:cs="Arial"/>
          <w:iCs/>
        </w:rPr>
        <w:t>Liljestrand</w:t>
      </w:r>
      <w:proofErr w:type="spellEnd"/>
      <w:r w:rsidRPr="00777326">
        <w:rPr>
          <w:rFonts w:cs="Arial"/>
          <w:iCs/>
        </w:rPr>
        <w:t xml:space="preserve"> J, </w:t>
      </w:r>
      <w:proofErr w:type="spellStart"/>
      <w:r w:rsidRPr="00777326">
        <w:rPr>
          <w:rFonts w:cs="Arial"/>
          <w:iCs/>
        </w:rPr>
        <w:t>Havulinna</w:t>
      </w:r>
      <w:proofErr w:type="spellEnd"/>
      <w:r w:rsidRPr="00777326">
        <w:rPr>
          <w:rFonts w:cs="Arial"/>
          <w:iCs/>
        </w:rPr>
        <w:t xml:space="preserve"> A, </w:t>
      </w:r>
      <w:proofErr w:type="spellStart"/>
      <w:r w:rsidRPr="00777326">
        <w:rPr>
          <w:rFonts w:cs="Arial"/>
          <w:iCs/>
        </w:rPr>
        <w:t>Paju</w:t>
      </w:r>
      <w:proofErr w:type="spellEnd"/>
      <w:r w:rsidRPr="00777326">
        <w:rPr>
          <w:rFonts w:cs="Arial"/>
          <w:iCs/>
        </w:rPr>
        <w:t xml:space="preserve"> S, </w:t>
      </w:r>
      <w:proofErr w:type="spellStart"/>
      <w:r w:rsidRPr="00777326">
        <w:rPr>
          <w:rFonts w:cs="Arial"/>
          <w:iCs/>
        </w:rPr>
        <w:t>Mannisto</w:t>
      </w:r>
      <w:proofErr w:type="spellEnd"/>
      <w:r w:rsidRPr="00777326">
        <w:rPr>
          <w:rFonts w:cs="Arial"/>
          <w:iCs/>
        </w:rPr>
        <w:t xml:space="preserve"> S, </w:t>
      </w:r>
      <w:proofErr w:type="spellStart"/>
      <w:r w:rsidRPr="00777326">
        <w:rPr>
          <w:rFonts w:cs="Arial"/>
          <w:iCs/>
        </w:rPr>
        <w:t>Pussinen</w:t>
      </w:r>
      <w:proofErr w:type="spellEnd"/>
      <w:r w:rsidRPr="00777326">
        <w:rPr>
          <w:rFonts w:cs="Arial"/>
          <w:iCs/>
        </w:rPr>
        <w:t xml:space="preserve"> P, “ Missing Teeth Predict Incident Cardiovascular Events, Diabetes, and Death,” </w:t>
      </w:r>
      <w:r w:rsidRPr="00777326">
        <w:rPr>
          <w:rFonts w:cs="Arial"/>
          <w:i/>
          <w:iCs/>
        </w:rPr>
        <w:t>Journal of Dental Research</w:t>
      </w:r>
      <w:r w:rsidRPr="00777326">
        <w:rPr>
          <w:rFonts w:cs="Arial"/>
          <w:iCs/>
        </w:rPr>
        <w:t xml:space="preserve">, 2015, vol.94, no.8, pgs.1055-1062. </w:t>
      </w:r>
    </w:p>
    <w:p w14:paraId="5FB96FC2" w14:textId="77777777" w:rsidR="005D57D6" w:rsidRPr="00777326" w:rsidRDefault="005D57D6" w:rsidP="00196E86">
      <w:pPr>
        <w:spacing w:line="240" w:lineRule="auto"/>
        <w:rPr>
          <w:rFonts w:cs="Arial"/>
          <w:iCs/>
        </w:rPr>
      </w:pPr>
      <w:r w:rsidRPr="00777326">
        <w:rPr>
          <w:rFonts w:cs="Arial"/>
          <w:iCs/>
        </w:rPr>
        <w:t xml:space="preserve">Linden G, Lyons A, </w:t>
      </w:r>
      <w:proofErr w:type="spellStart"/>
      <w:r w:rsidRPr="00777326">
        <w:rPr>
          <w:rFonts w:cs="Arial"/>
          <w:iCs/>
        </w:rPr>
        <w:t>Scannapieco</w:t>
      </w:r>
      <w:proofErr w:type="spellEnd"/>
      <w:r w:rsidRPr="00777326">
        <w:rPr>
          <w:rFonts w:cs="Arial"/>
          <w:iCs/>
        </w:rPr>
        <w:t xml:space="preserve"> F, “Periodontal Systemic Associations: Review of the Evidence,” </w:t>
      </w:r>
      <w:r w:rsidRPr="00777326">
        <w:rPr>
          <w:rFonts w:cs="Arial"/>
          <w:i/>
          <w:iCs/>
        </w:rPr>
        <w:t>Journal of Periodontology</w:t>
      </w:r>
      <w:r w:rsidRPr="00777326">
        <w:rPr>
          <w:rFonts w:cs="Arial"/>
          <w:iCs/>
        </w:rPr>
        <w:t xml:space="preserve">, 2013, vol.84, no.4 supplement, pgs. </w:t>
      </w:r>
      <w:proofErr w:type="gramStart"/>
      <w:r w:rsidRPr="00777326">
        <w:rPr>
          <w:rFonts w:cs="Arial"/>
          <w:iCs/>
        </w:rPr>
        <w:t>S8-S19.</w:t>
      </w:r>
      <w:proofErr w:type="gramEnd"/>
    </w:p>
    <w:p w14:paraId="56CED345" w14:textId="4EB4431E" w:rsidR="00900604" w:rsidRPr="00777326" w:rsidRDefault="00900604" w:rsidP="00196E86">
      <w:pPr>
        <w:spacing w:line="240" w:lineRule="auto"/>
        <w:rPr>
          <w:rFonts w:cs="Arial"/>
          <w:iCs/>
        </w:rPr>
      </w:pPr>
      <w:proofErr w:type="spellStart"/>
      <w:r w:rsidRPr="00777326">
        <w:rPr>
          <w:rFonts w:cs="Arial"/>
          <w:iCs/>
        </w:rPr>
        <w:t>Mahmoudi</w:t>
      </w:r>
      <w:proofErr w:type="spellEnd"/>
      <w:r w:rsidRPr="00777326">
        <w:rPr>
          <w:rFonts w:cs="Arial"/>
          <w:iCs/>
        </w:rPr>
        <w:t xml:space="preserve"> E, Meade M, “Disparities in Access to Health Care among Adults with Physical </w:t>
      </w:r>
      <w:proofErr w:type="spellStart"/>
      <w:r w:rsidRPr="00777326">
        <w:rPr>
          <w:rFonts w:cs="Arial"/>
          <w:iCs/>
        </w:rPr>
        <w:t>Disabilites</w:t>
      </w:r>
      <w:proofErr w:type="spellEnd"/>
      <w:r w:rsidRPr="00777326">
        <w:rPr>
          <w:rFonts w:cs="Arial"/>
          <w:iCs/>
        </w:rPr>
        <w:t xml:space="preserve">: Analysis of a Representative National Sample for a Ten-year Period, </w:t>
      </w:r>
      <w:r w:rsidRPr="00777326">
        <w:rPr>
          <w:rFonts w:cs="Arial"/>
          <w:i/>
          <w:iCs/>
        </w:rPr>
        <w:t>Disability and Health Journal</w:t>
      </w:r>
      <w:r w:rsidRPr="00777326">
        <w:rPr>
          <w:rFonts w:cs="Arial"/>
          <w:iCs/>
        </w:rPr>
        <w:t>, 2015</w:t>
      </w:r>
      <w:r w:rsidR="00D03DE2" w:rsidRPr="00777326">
        <w:rPr>
          <w:rFonts w:cs="Arial"/>
          <w:iCs/>
        </w:rPr>
        <w:t>, vol.8, pgs.182-190.</w:t>
      </w:r>
    </w:p>
    <w:p w14:paraId="68014169" w14:textId="2932A5D5" w:rsidR="005D57D6" w:rsidRPr="00777326" w:rsidRDefault="005D57D6" w:rsidP="00196E86">
      <w:pPr>
        <w:spacing w:line="240" w:lineRule="auto"/>
        <w:rPr>
          <w:rFonts w:cs="Arial"/>
          <w:iCs/>
        </w:rPr>
      </w:pPr>
      <w:r w:rsidRPr="00777326">
        <w:rPr>
          <w:rFonts w:cs="Arial"/>
          <w:iCs/>
        </w:rPr>
        <w:lastRenderedPageBreak/>
        <w:t xml:space="preserve">Medicaid and CHIP Payment and Access Commission, </w:t>
      </w:r>
      <w:r w:rsidRPr="00777326">
        <w:rPr>
          <w:rFonts w:cs="Arial"/>
          <w:i/>
          <w:iCs/>
        </w:rPr>
        <w:t>Report to Congress on Medicaid and CHIP, 2015</w:t>
      </w:r>
      <w:r w:rsidRPr="00777326">
        <w:rPr>
          <w:rFonts w:cs="Arial"/>
          <w:iCs/>
        </w:rPr>
        <w:t xml:space="preserve">. </w:t>
      </w:r>
      <w:proofErr w:type="gramStart"/>
      <w:r w:rsidRPr="00777326">
        <w:rPr>
          <w:rFonts w:cs="Arial"/>
          <w:iCs/>
        </w:rPr>
        <w:t>Accessed June 2016</w:t>
      </w:r>
      <w:r w:rsidR="00CE4122">
        <w:rPr>
          <w:rFonts w:cs="Arial"/>
          <w:iCs/>
        </w:rPr>
        <w:t>.</w:t>
      </w:r>
      <w:proofErr w:type="gramEnd"/>
      <w:r w:rsidRPr="00777326">
        <w:rPr>
          <w:rFonts w:cs="Arial"/>
          <w:iCs/>
        </w:rPr>
        <w:t xml:space="preserve"> </w:t>
      </w:r>
    </w:p>
    <w:p w14:paraId="1337547B" w14:textId="77777777" w:rsidR="001D4C72" w:rsidRPr="00777326" w:rsidRDefault="001D4C72" w:rsidP="00196E86">
      <w:pPr>
        <w:spacing w:line="240" w:lineRule="auto"/>
        <w:rPr>
          <w:rFonts w:cs="Arial"/>
          <w:bCs/>
          <w:iCs/>
        </w:rPr>
      </w:pPr>
      <w:r w:rsidRPr="00777326">
        <w:rPr>
          <w:rFonts w:cs="Arial"/>
          <w:bCs/>
          <w:iCs/>
        </w:rPr>
        <w:t xml:space="preserve">Morgan J, </w:t>
      </w:r>
      <w:proofErr w:type="spellStart"/>
      <w:r w:rsidRPr="00777326">
        <w:rPr>
          <w:rFonts w:cs="Arial"/>
          <w:bCs/>
          <w:iCs/>
        </w:rPr>
        <w:t>Minihan</w:t>
      </w:r>
      <w:proofErr w:type="spellEnd"/>
      <w:r w:rsidRPr="00777326">
        <w:rPr>
          <w:rFonts w:cs="Arial"/>
          <w:bCs/>
          <w:iCs/>
        </w:rPr>
        <w:t xml:space="preserve"> P, Stark P, </w:t>
      </w:r>
      <w:proofErr w:type="spellStart"/>
      <w:r w:rsidRPr="00777326">
        <w:rPr>
          <w:rFonts w:cs="Arial"/>
          <w:bCs/>
          <w:iCs/>
        </w:rPr>
        <w:t>Finkelman</w:t>
      </w:r>
      <w:proofErr w:type="spellEnd"/>
      <w:r w:rsidRPr="00777326">
        <w:rPr>
          <w:rFonts w:cs="Arial"/>
          <w:bCs/>
          <w:iCs/>
        </w:rPr>
        <w:t xml:space="preserve"> M, </w:t>
      </w:r>
      <w:proofErr w:type="spellStart"/>
      <w:r w:rsidRPr="00777326">
        <w:rPr>
          <w:rFonts w:cs="Arial"/>
          <w:bCs/>
          <w:iCs/>
        </w:rPr>
        <w:t>Yantsides</w:t>
      </w:r>
      <w:proofErr w:type="spellEnd"/>
      <w:r w:rsidRPr="00777326">
        <w:rPr>
          <w:rFonts w:cs="Arial"/>
          <w:bCs/>
          <w:iCs/>
        </w:rPr>
        <w:t xml:space="preserve"> K, Park A, Nobles C, Tao W, Must A, “The Oral Health Status of 4,732 Adults with Intellectual and Developmental Disabilities,” </w:t>
      </w:r>
      <w:r w:rsidRPr="00777326">
        <w:rPr>
          <w:rFonts w:cs="Arial"/>
          <w:bCs/>
          <w:i/>
          <w:iCs/>
        </w:rPr>
        <w:t>Journal of the American Dental Association</w:t>
      </w:r>
      <w:r w:rsidRPr="00777326">
        <w:rPr>
          <w:rFonts w:cs="Arial"/>
          <w:bCs/>
          <w:iCs/>
        </w:rPr>
        <w:t>, 2012, vol.143, no.8, pgs.838-846.</w:t>
      </w:r>
    </w:p>
    <w:p w14:paraId="67A60325" w14:textId="77777777" w:rsidR="00D30A34" w:rsidRDefault="009C6C2F" w:rsidP="00196E86">
      <w:pPr>
        <w:spacing w:line="240" w:lineRule="auto"/>
        <w:rPr>
          <w:rFonts w:cs="Arial"/>
          <w:iCs/>
        </w:rPr>
      </w:pPr>
      <w:r w:rsidRPr="00777326">
        <w:rPr>
          <w:rFonts w:cs="Arial"/>
          <w:iCs/>
        </w:rPr>
        <w:t xml:space="preserve">National Medicare Advocates Alliance, </w:t>
      </w:r>
      <w:r w:rsidRPr="00777326">
        <w:rPr>
          <w:rFonts w:cs="Arial"/>
          <w:i/>
          <w:iCs/>
        </w:rPr>
        <w:t>Medicare Coverage of Dental Services, Issue Brief #1</w:t>
      </w:r>
      <w:r w:rsidRPr="00777326">
        <w:rPr>
          <w:rFonts w:cs="Arial"/>
          <w:iCs/>
        </w:rPr>
        <w:t>, Center for Medicare Ad</w:t>
      </w:r>
      <w:r w:rsidR="00D30A34">
        <w:rPr>
          <w:rFonts w:cs="Arial"/>
          <w:iCs/>
        </w:rPr>
        <w:t>vocacy, Inc.,  February 2009.</w:t>
      </w:r>
    </w:p>
    <w:p w14:paraId="37DD27B2" w14:textId="66D38C3D" w:rsidR="00395D5B" w:rsidRPr="00777326" w:rsidRDefault="00395D5B" w:rsidP="00196E86">
      <w:pPr>
        <w:spacing w:line="240" w:lineRule="auto"/>
        <w:rPr>
          <w:rFonts w:cs="Arial"/>
          <w:iCs/>
        </w:rPr>
      </w:pPr>
      <w:r w:rsidRPr="00777326">
        <w:rPr>
          <w:rFonts w:cs="Arial"/>
          <w:iCs/>
        </w:rPr>
        <w:t xml:space="preserve">NASUAD, </w:t>
      </w:r>
      <w:r w:rsidRPr="00777326">
        <w:rPr>
          <w:rFonts w:cs="Arial"/>
          <w:i/>
          <w:iCs/>
        </w:rPr>
        <w:t>Medicaid Oral Health Coverage for Older Adults and People with Disabilities</w:t>
      </w:r>
      <w:r w:rsidRPr="00777326">
        <w:rPr>
          <w:rFonts w:cs="Arial"/>
          <w:iCs/>
        </w:rPr>
        <w:t xml:space="preserve">, National Association of States United for Aging and Disability, September 2016. </w:t>
      </w:r>
    </w:p>
    <w:p w14:paraId="2FC685DC" w14:textId="77777777" w:rsidR="0074745B" w:rsidRPr="00777326" w:rsidRDefault="0074745B" w:rsidP="00196E86">
      <w:pPr>
        <w:spacing w:line="240" w:lineRule="auto"/>
        <w:rPr>
          <w:rFonts w:cs="Arial"/>
        </w:rPr>
      </w:pPr>
      <w:r w:rsidRPr="00777326">
        <w:rPr>
          <w:rFonts w:cs="Arial"/>
        </w:rPr>
        <w:t xml:space="preserve">Oral Health America, </w:t>
      </w:r>
      <w:r w:rsidRPr="00777326">
        <w:rPr>
          <w:rFonts w:cs="Arial"/>
          <w:i/>
        </w:rPr>
        <w:t>A State of Decay, Are Older Americans Coming of Age without Oral Health Care</w:t>
      </w:r>
      <w:proofErr w:type="gramStart"/>
      <w:r w:rsidRPr="00777326">
        <w:rPr>
          <w:rFonts w:cs="Arial"/>
          <w:i/>
        </w:rPr>
        <w:t>?</w:t>
      </w:r>
      <w:r w:rsidRPr="00777326">
        <w:rPr>
          <w:rFonts w:cs="Arial"/>
        </w:rPr>
        <w:t>,</w:t>
      </w:r>
      <w:proofErr w:type="gramEnd"/>
      <w:r w:rsidRPr="00777326">
        <w:rPr>
          <w:rFonts w:cs="Arial"/>
        </w:rPr>
        <w:t xml:space="preserve"> </w:t>
      </w:r>
      <w:proofErr w:type="spellStart"/>
      <w:r w:rsidRPr="00777326">
        <w:rPr>
          <w:rFonts w:cs="Arial"/>
        </w:rPr>
        <w:t>vol.III</w:t>
      </w:r>
      <w:proofErr w:type="spellEnd"/>
      <w:r w:rsidRPr="00777326">
        <w:rPr>
          <w:rFonts w:cs="Arial"/>
        </w:rPr>
        <w:t>, 2016.</w:t>
      </w:r>
    </w:p>
    <w:p w14:paraId="6E0A2528" w14:textId="77777777" w:rsidR="001D4C72" w:rsidRPr="00777326" w:rsidRDefault="001D4C72" w:rsidP="00196E86">
      <w:pPr>
        <w:spacing w:line="240" w:lineRule="auto"/>
        <w:rPr>
          <w:rFonts w:cs="Arial"/>
          <w:bCs/>
          <w:iCs/>
        </w:rPr>
      </w:pPr>
      <w:r w:rsidRPr="00777326">
        <w:rPr>
          <w:rFonts w:cs="Arial"/>
          <w:bCs/>
          <w:iCs/>
        </w:rPr>
        <w:t xml:space="preserve">Owens P, </w:t>
      </w:r>
      <w:proofErr w:type="spellStart"/>
      <w:r w:rsidRPr="00777326">
        <w:rPr>
          <w:rFonts w:cs="Arial"/>
          <w:bCs/>
          <w:iCs/>
        </w:rPr>
        <w:t>Kerker</w:t>
      </w:r>
      <w:proofErr w:type="spellEnd"/>
      <w:r w:rsidRPr="00777326">
        <w:rPr>
          <w:rFonts w:cs="Arial"/>
          <w:bCs/>
          <w:iCs/>
        </w:rPr>
        <w:t xml:space="preserve"> B, </w:t>
      </w:r>
      <w:proofErr w:type="spellStart"/>
      <w:r w:rsidRPr="00777326">
        <w:rPr>
          <w:rFonts w:cs="Arial"/>
          <w:bCs/>
          <w:iCs/>
        </w:rPr>
        <w:t>Zigler</w:t>
      </w:r>
      <w:proofErr w:type="spellEnd"/>
      <w:r w:rsidRPr="00777326">
        <w:rPr>
          <w:rFonts w:cs="Arial"/>
          <w:bCs/>
          <w:iCs/>
        </w:rPr>
        <w:t xml:space="preserve"> E, </w:t>
      </w:r>
      <w:proofErr w:type="spellStart"/>
      <w:r w:rsidRPr="00777326">
        <w:rPr>
          <w:rFonts w:cs="Arial"/>
          <w:bCs/>
          <w:iCs/>
        </w:rPr>
        <w:t>Horwitz</w:t>
      </w:r>
      <w:proofErr w:type="spellEnd"/>
      <w:r w:rsidRPr="00777326">
        <w:rPr>
          <w:rFonts w:cs="Arial"/>
          <w:bCs/>
          <w:iCs/>
        </w:rPr>
        <w:t xml:space="preserve"> S, “Vision and Oral Health Needs of Individuals with Intellectual Disability,” </w:t>
      </w:r>
      <w:r w:rsidRPr="00777326">
        <w:rPr>
          <w:rFonts w:cs="Arial"/>
          <w:bCs/>
          <w:i/>
          <w:iCs/>
        </w:rPr>
        <w:t>Mental Retardation and Developmental Disabilities Research Reviews</w:t>
      </w:r>
      <w:r w:rsidRPr="00777326">
        <w:rPr>
          <w:rFonts w:cs="Arial"/>
          <w:bCs/>
          <w:iCs/>
        </w:rPr>
        <w:t>, 2006, vol.12, pgs.28-40.</w:t>
      </w:r>
    </w:p>
    <w:p w14:paraId="16406060" w14:textId="77777777" w:rsidR="005D57D6" w:rsidRPr="00777326" w:rsidRDefault="005D57D6" w:rsidP="00196E86">
      <w:pPr>
        <w:spacing w:line="240" w:lineRule="auto"/>
        <w:rPr>
          <w:rFonts w:cs="Arial"/>
          <w:iCs/>
        </w:rPr>
      </w:pPr>
      <w:proofErr w:type="spellStart"/>
      <w:r w:rsidRPr="00777326">
        <w:rPr>
          <w:rFonts w:cs="Arial"/>
          <w:iCs/>
        </w:rPr>
        <w:t>Paju</w:t>
      </w:r>
      <w:proofErr w:type="spellEnd"/>
      <w:r w:rsidRPr="00777326">
        <w:rPr>
          <w:rFonts w:cs="Arial"/>
          <w:iCs/>
        </w:rPr>
        <w:t xml:space="preserve"> S, </w:t>
      </w:r>
      <w:proofErr w:type="spellStart"/>
      <w:r w:rsidRPr="00777326">
        <w:rPr>
          <w:rFonts w:cs="Arial"/>
          <w:iCs/>
        </w:rPr>
        <w:t>Scannapieco</w:t>
      </w:r>
      <w:proofErr w:type="spellEnd"/>
      <w:r w:rsidRPr="00777326">
        <w:rPr>
          <w:rFonts w:cs="Arial"/>
          <w:iCs/>
        </w:rPr>
        <w:t xml:space="preserve"> F, Oral Biofilms, Periodontitis, and Pulmonary Infections, </w:t>
      </w:r>
      <w:r w:rsidRPr="00777326">
        <w:rPr>
          <w:rFonts w:cs="Arial"/>
          <w:i/>
          <w:iCs/>
        </w:rPr>
        <w:t>Oral Diseases,</w:t>
      </w:r>
      <w:r w:rsidR="00E87206" w:rsidRPr="00777326">
        <w:rPr>
          <w:rFonts w:cs="Arial"/>
          <w:i/>
          <w:iCs/>
        </w:rPr>
        <w:t xml:space="preserve"> </w:t>
      </w:r>
      <w:r w:rsidRPr="00777326">
        <w:rPr>
          <w:rFonts w:cs="Arial"/>
          <w:iCs/>
        </w:rPr>
        <w:t>2007, vol.13, pgs.508-512.</w:t>
      </w:r>
    </w:p>
    <w:p w14:paraId="3EBE0BA1" w14:textId="77777777" w:rsidR="00C44451" w:rsidRPr="00777326" w:rsidRDefault="00C44451" w:rsidP="00196E86">
      <w:pPr>
        <w:spacing w:line="240" w:lineRule="auto"/>
        <w:rPr>
          <w:rFonts w:cs="Arial"/>
          <w:iCs/>
        </w:rPr>
      </w:pPr>
      <w:proofErr w:type="spellStart"/>
      <w:r w:rsidRPr="00777326">
        <w:rPr>
          <w:rFonts w:cs="Arial"/>
          <w:iCs/>
        </w:rPr>
        <w:t>Singhal</w:t>
      </w:r>
      <w:proofErr w:type="spellEnd"/>
      <w:r w:rsidRPr="00777326">
        <w:rPr>
          <w:rFonts w:cs="Arial"/>
          <w:iCs/>
        </w:rPr>
        <w:t xml:space="preserve"> A, </w:t>
      </w:r>
      <w:proofErr w:type="spellStart"/>
      <w:r w:rsidRPr="00777326">
        <w:rPr>
          <w:rFonts w:cs="Arial"/>
          <w:iCs/>
        </w:rPr>
        <w:t>Caplan</w:t>
      </w:r>
      <w:proofErr w:type="spellEnd"/>
      <w:r w:rsidRPr="00777326">
        <w:rPr>
          <w:rFonts w:cs="Arial"/>
          <w:iCs/>
        </w:rPr>
        <w:t xml:space="preserve"> D, Jones M, </w:t>
      </w:r>
      <w:proofErr w:type="spellStart"/>
      <w:r w:rsidRPr="00777326">
        <w:rPr>
          <w:rFonts w:cs="Arial"/>
          <w:iCs/>
        </w:rPr>
        <w:t>Momany</w:t>
      </w:r>
      <w:proofErr w:type="spellEnd"/>
      <w:r w:rsidRPr="00777326">
        <w:rPr>
          <w:rFonts w:cs="Arial"/>
          <w:iCs/>
        </w:rPr>
        <w:t xml:space="preserve"> E, </w:t>
      </w:r>
      <w:proofErr w:type="spellStart"/>
      <w:r w:rsidRPr="00777326">
        <w:rPr>
          <w:rFonts w:cs="Arial"/>
          <w:iCs/>
        </w:rPr>
        <w:t>Kuthy</w:t>
      </w:r>
      <w:proofErr w:type="spellEnd"/>
      <w:r w:rsidRPr="00777326">
        <w:rPr>
          <w:rFonts w:cs="Arial"/>
          <w:iCs/>
        </w:rPr>
        <w:t xml:space="preserve"> R, </w:t>
      </w:r>
      <w:proofErr w:type="spellStart"/>
      <w:r w:rsidRPr="00777326">
        <w:rPr>
          <w:rFonts w:cs="Arial"/>
          <w:iCs/>
        </w:rPr>
        <w:t>Buresh</w:t>
      </w:r>
      <w:proofErr w:type="spellEnd"/>
      <w:r w:rsidRPr="00777326">
        <w:rPr>
          <w:rFonts w:cs="Arial"/>
          <w:iCs/>
        </w:rPr>
        <w:t xml:space="preserve"> C, </w:t>
      </w:r>
      <w:proofErr w:type="spellStart"/>
      <w:r w:rsidRPr="00777326">
        <w:rPr>
          <w:rFonts w:cs="Arial"/>
          <w:iCs/>
        </w:rPr>
        <w:t>Isman</w:t>
      </w:r>
      <w:proofErr w:type="spellEnd"/>
      <w:r w:rsidRPr="00777326">
        <w:rPr>
          <w:rFonts w:cs="Arial"/>
          <w:iCs/>
        </w:rPr>
        <w:t xml:space="preserve"> R, </w:t>
      </w:r>
      <w:proofErr w:type="spellStart"/>
      <w:r w:rsidRPr="00777326">
        <w:rPr>
          <w:rFonts w:cs="Arial"/>
          <w:iCs/>
        </w:rPr>
        <w:t>Damiano</w:t>
      </w:r>
      <w:proofErr w:type="spellEnd"/>
      <w:r w:rsidRPr="00777326">
        <w:rPr>
          <w:rFonts w:cs="Arial"/>
          <w:iCs/>
        </w:rPr>
        <w:t xml:space="preserve"> P, “Eliminating Medicaid Adult Dental Coverage in </w:t>
      </w:r>
      <w:r w:rsidR="00BA2C4F" w:rsidRPr="00777326">
        <w:rPr>
          <w:rFonts w:cs="Arial"/>
          <w:iCs/>
        </w:rPr>
        <w:t xml:space="preserve">California Led to Increased Dental Emergency </w:t>
      </w:r>
      <w:proofErr w:type="spellStart"/>
      <w:r w:rsidR="00BA2C4F" w:rsidRPr="00777326">
        <w:rPr>
          <w:rFonts w:cs="Arial"/>
          <w:iCs/>
        </w:rPr>
        <w:t>Visist</w:t>
      </w:r>
      <w:proofErr w:type="spellEnd"/>
      <w:r w:rsidR="00BA2C4F" w:rsidRPr="00777326">
        <w:rPr>
          <w:rFonts w:cs="Arial"/>
          <w:iCs/>
        </w:rPr>
        <w:t xml:space="preserve"> and Associated Costs,” </w:t>
      </w:r>
      <w:r w:rsidR="00BA2C4F" w:rsidRPr="00777326">
        <w:rPr>
          <w:rFonts w:cs="Arial"/>
          <w:i/>
          <w:iCs/>
        </w:rPr>
        <w:t>Health Affairs</w:t>
      </w:r>
      <w:r w:rsidR="00BA2C4F" w:rsidRPr="00777326">
        <w:rPr>
          <w:rFonts w:cs="Arial"/>
          <w:iCs/>
        </w:rPr>
        <w:t xml:space="preserve">, 2015, vol.34, no.5, pgs. </w:t>
      </w:r>
      <w:proofErr w:type="gramStart"/>
      <w:r w:rsidR="00BA2C4F" w:rsidRPr="00777326">
        <w:rPr>
          <w:rFonts w:cs="Arial"/>
          <w:iCs/>
        </w:rPr>
        <w:t>749-756.</w:t>
      </w:r>
      <w:proofErr w:type="gramEnd"/>
    </w:p>
    <w:p w14:paraId="1BD107A4" w14:textId="77777777" w:rsidR="0074745B" w:rsidRPr="00777326" w:rsidRDefault="0074745B" w:rsidP="00196E86">
      <w:pPr>
        <w:spacing w:line="240" w:lineRule="auto"/>
        <w:rPr>
          <w:rFonts w:cs="Arial"/>
          <w:bCs/>
          <w:iCs/>
        </w:rPr>
      </w:pPr>
      <w:proofErr w:type="spellStart"/>
      <w:r w:rsidRPr="00777326">
        <w:rPr>
          <w:rFonts w:cs="Arial"/>
          <w:bCs/>
          <w:iCs/>
        </w:rPr>
        <w:t>Sjogren</w:t>
      </w:r>
      <w:proofErr w:type="spellEnd"/>
      <w:r w:rsidRPr="00777326">
        <w:rPr>
          <w:rFonts w:cs="Arial"/>
          <w:bCs/>
          <w:iCs/>
        </w:rPr>
        <w:t xml:space="preserve"> P, Nilsson E, </w:t>
      </w:r>
      <w:proofErr w:type="spellStart"/>
      <w:r w:rsidRPr="00777326">
        <w:rPr>
          <w:rFonts w:cs="Arial"/>
          <w:bCs/>
          <w:iCs/>
        </w:rPr>
        <w:t>Forsell</w:t>
      </w:r>
      <w:proofErr w:type="spellEnd"/>
      <w:r w:rsidRPr="00777326">
        <w:rPr>
          <w:rFonts w:cs="Arial"/>
          <w:bCs/>
          <w:iCs/>
        </w:rPr>
        <w:t xml:space="preserve"> M, Johansson O, </w:t>
      </w:r>
      <w:proofErr w:type="spellStart"/>
      <w:r w:rsidRPr="00777326">
        <w:rPr>
          <w:rFonts w:cs="Arial"/>
          <w:bCs/>
          <w:iCs/>
        </w:rPr>
        <w:t>Hoogstraate</w:t>
      </w:r>
      <w:proofErr w:type="spellEnd"/>
      <w:r w:rsidRPr="00777326">
        <w:rPr>
          <w:rFonts w:cs="Arial"/>
          <w:bCs/>
          <w:iCs/>
        </w:rPr>
        <w:t xml:space="preserve"> J, “A Systematic Review of the Preventive Effect of Oral Hygiene on Pneumonia and Respiratory Tract Infection in Elderly People in Hospitals and Nursing Homes: Effect Estimates and Methodological Quality of Randomized Controlled Trials,” </w:t>
      </w:r>
      <w:r w:rsidRPr="00777326">
        <w:rPr>
          <w:rFonts w:cs="Arial"/>
          <w:bCs/>
          <w:i/>
          <w:iCs/>
        </w:rPr>
        <w:t>Journal of the American Geriatrics Society</w:t>
      </w:r>
      <w:r w:rsidRPr="00777326">
        <w:rPr>
          <w:rFonts w:cs="Arial"/>
          <w:bCs/>
          <w:iCs/>
        </w:rPr>
        <w:t xml:space="preserve">, 2008, vol.56, pgs. 2124-2130. </w:t>
      </w:r>
    </w:p>
    <w:p w14:paraId="3D1EE47D" w14:textId="77777777" w:rsidR="002D708F" w:rsidRPr="00777326" w:rsidRDefault="002D708F" w:rsidP="00196E86">
      <w:pPr>
        <w:spacing w:line="240" w:lineRule="auto"/>
        <w:rPr>
          <w:rFonts w:cs="Arial"/>
          <w:iCs/>
        </w:rPr>
      </w:pPr>
      <w:r w:rsidRPr="00777326">
        <w:rPr>
          <w:rFonts w:cs="Arial"/>
          <w:iCs/>
        </w:rPr>
        <w:t xml:space="preserve">Social Security Act, accessed July 2016 at: https://www.ssa.gov/OP_Home/ssact/title18/1862.htm </w:t>
      </w:r>
    </w:p>
    <w:p w14:paraId="653054F1" w14:textId="77777777" w:rsidR="001D4C72" w:rsidRPr="00777326" w:rsidRDefault="001D4C72" w:rsidP="00196E86">
      <w:pPr>
        <w:spacing w:line="240" w:lineRule="auto"/>
        <w:rPr>
          <w:rFonts w:cs="Arial"/>
          <w:bCs/>
          <w:iCs/>
        </w:rPr>
      </w:pPr>
      <w:r w:rsidRPr="00777326">
        <w:rPr>
          <w:rFonts w:cs="Arial"/>
          <w:bCs/>
          <w:iCs/>
        </w:rPr>
        <w:t xml:space="preserve">Van der </w:t>
      </w:r>
      <w:proofErr w:type="spellStart"/>
      <w:r w:rsidRPr="00777326">
        <w:rPr>
          <w:rFonts w:cs="Arial"/>
          <w:bCs/>
          <w:iCs/>
        </w:rPr>
        <w:t>Putten</w:t>
      </w:r>
      <w:proofErr w:type="spellEnd"/>
      <w:r w:rsidRPr="00777326">
        <w:rPr>
          <w:rFonts w:cs="Arial"/>
          <w:bCs/>
          <w:iCs/>
        </w:rPr>
        <w:t xml:space="preserve"> G, de </w:t>
      </w:r>
      <w:proofErr w:type="spellStart"/>
      <w:r w:rsidRPr="00777326">
        <w:rPr>
          <w:rFonts w:cs="Arial"/>
          <w:bCs/>
          <w:iCs/>
        </w:rPr>
        <w:t>Baat</w:t>
      </w:r>
      <w:proofErr w:type="spellEnd"/>
      <w:r w:rsidRPr="00777326">
        <w:rPr>
          <w:rFonts w:cs="Arial"/>
          <w:bCs/>
          <w:iCs/>
        </w:rPr>
        <w:t xml:space="preserve"> C, de </w:t>
      </w:r>
      <w:proofErr w:type="spellStart"/>
      <w:r w:rsidRPr="00777326">
        <w:rPr>
          <w:rFonts w:cs="Arial"/>
          <w:bCs/>
          <w:iCs/>
        </w:rPr>
        <w:t>Visschere</w:t>
      </w:r>
      <w:proofErr w:type="spellEnd"/>
      <w:r w:rsidRPr="00777326">
        <w:rPr>
          <w:rFonts w:cs="Arial"/>
          <w:bCs/>
          <w:iCs/>
        </w:rPr>
        <w:t xml:space="preserve"> L, </w:t>
      </w:r>
      <w:proofErr w:type="spellStart"/>
      <w:r w:rsidRPr="00777326">
        <w:rPr>
          <w:rFonts w:cs="Arial"/>
          <w:bCs/>
          <w:iCs/>
        </w:rPr>
        <w:t>Schols</w:t>
      </w:r>
      <w:proofErr w:type="spellEnd"/>
      <w:r w:rsidRPr="00777326">
        <w:rPr>
          <w:rFonts w:cs="Arial"/>
          <w:bCs/>
          <w:iCs/>
        </w:rPr>
        <w:t xml:space="preserve"> J, </w:t>
      </w:r>
      <w:proofErr w:type="gramStart"/>
      <w:r w:rsidRPr="00777326">
        <w:rPr>
          <w:rFonts w:cs="Arial"/>
          <w:bCs/>
          <w:iCs/>
        </w:rPr>
        <w:t>“ Poor</w:t>
      </w:r>
      <w:proofErr w:type="gramEnd"/>
      <w:r w:rsidRPr="00777326">
        <w:rPr>
          <w:rFonts w:cs="Arial"/>
          <w:bCs/>
          <w:iCs/>
        </w:rPr>
        <w:t xml:space="preserve"> Oral Health16,, a Potential New Geriatric Syndrome,” </w:t>
      </w:r>
      <w:proofErr w:type="spellStart"/>
      <w:r w:rsidRPr="00777326">
        <w:rPr>
          <w:rFonts w:cs="Arial"/>
          <w:bCs/>
          <w:iCs/>
        </w:rPr>
        <w:t>Gerodontology</w:t>
      </w:r>
      <w:proofErr w:type="spellEnd"/>
      <w:r w:rsidRPr="00777326">
        <w:rPr>
          <w:rFonts w:cs="Arial"/>
          <w:bCs/>
          <w:iCs/>
        </w:rPr>
        <w:t xml:space="preserve">, 2014, vol.31, Supplement 1, pgs. </w:t>
      </w:r>
      <w:proofErr w:type="gramStart"/>
      <w:r w:rsidRPr="00777326">
        <w:rPr>
          <w:rFonts w:cs="Arial"/>
          <w:bCs/>
          <w:iCs/>
        </w:rPr>
        <w:t>17-24.</w:t>
      </w:r>
      <w:proofErr w:type="gramEnd"/>
    </w:p>
    <w:p w14:paraId="0A3790F9" w14:textId="77777777" w:rsidR="002D708F" w:rsidRPr="00777326" w:rsidRDefault="002D708F" w:rsidP="00196E86">
      <w:pPr>
        <w:spacing w:line="240" w:lineRule="auto"/>
        <w:rPr>
          <w:rFonts w:cs="Arial"/>
        </w:rPr>
      </w:pPr>
      <w:r w:rsidRPr="00777326">
        <w:rPr>
          <w:rFonts w:cs="Arial"/>
        </w:rPr>
        <w:t xml:space="preserve">Wall T, </w:t>
      </w:r>
      <w:proofErr w:type="spellStart"/>
      <w:r w:rsidRPr="00777326">
        <w:rPr>
          <w:rFonts w:cs="Arial"/>
        </w:rPr>
        <w:t>Vujicic</w:t>
      </w:r>
      <w:proofErr w:type="spellEnd"/>
      <w:r w:rsidRPr="00777326">
        <w:rPr>
          <w:rFonts w:cs="Arial"/>
        </w:rPr>
        <w:t xml:space="preserve"> M, </w:t>
      </w:r>
      <w:r w:rsidRPr="00777326">
        <w:rPr>
          <w:rFonts w:cs="Arial"/>
          <w:i/>
        </w:rPr>
        <w:t>Emergency Department Use for Dental Conditions Continues to Increase</w:t>
      </w:r>
      <w:r w:rsidRPr="00777326">
        <w:rPr>
          <w:rFonts w:cs="Arial"/>
        </w:rPr>
        <w:t xml:space="preserve">, American Dental Association Health Policy Institute, 2015. </w:t>
      </w:r>
    </w:p>
    <w:p w14:paraId="10C157C2" w14:textId="77777777" w:rsidR="001D4C72" w:rsidRPr="00777326" w:rsidRDefault="001D4C72" w:rsidP="00196E86">
      <w:pPr>
        <w:spacing w:line="240" w:lineRule="auto"/>
        <w:rPr>
          <w:rFonts w:cs="Arial"/>
          <w:bCs/>
          <w:iCs/>
        </w:rPr>
      </w:pPr>
      <w:r w:rsidRPr="00777326">
        <w:rPr>
          <w:rFonts w:cs="Arial"/>
          <w:bCs/>
          <w:iCs/>
        </w:rPr>
        <w:t xml:space="preserve">Wallace N, Carlson M, </w:t>
      </w:r>
      <w:proofErr w:type="spellStart"/>
      <w:r w:rsidRPr="00777326">
        <w:rPr>
          <w:rFonts w:cs="Arial"/>
          <w:bCs/>
          <w:iCs/>
        </w:rPr>
        <w:t>Mosen</w:t>
      </w:r>
      <w:proofErr w:type="spellEnd"/>
      <w:r w:rsidRPr="00777326">
        <w:rPr>
          <w:rFonts w:cs="Arial"/>
          <w:bCs/>
          <w:iCs/>
        </w:rPr>
        <w:t xml:space="preserve"> D, Snyder J, Wright B, “The Individual and Program Impacts of Eliminating Medicaid Dental Benefits in the Oregon Health Plan,” American Journal of Public Health, 2011, vol.101, no.11, pgs.2144-2150.</w:t>
      </w:r>
    </w:p>
    <w:p w14:paraId="645062E6" w14:textId="20BEEA4D" w:rsidR="0074745B" w:rsidRPr="00777326" w:rsidRDefault="005D57D6" w:rsidP="00196E86">
      <w:pPr>
        <w:spacing w:line="240" w:lineRule="auto"/>
        <w:rPr>
          <w:rFonts w:cs="Arial"/>
          <w:iCs/>
        </w:rPr>
      </w:pPr>
      <w:proofErr w:type="spellStart"/>
      <w:r w:rsidRPr="00777326">
        <w:rPr>
          <w:rFonts w:cs="Arial"/>
          <w:iCs/>
        </w:rPr>
        <w:t>Yalowich</w:t>
      </w:r>
      <w:proofErr w:type="spellEnd"/>
      <w:r w:rsidRPr="00777326">
        <w:rPr>
          <w:rFonts w:cs="Arial"/>
          <w:iCs/>
        </w:rPr>
        <w:t xml:space="preserve"> R, Corso C, </w:t>
      </w:r>
      <w:r w:rsidRPr="00777326">
        <w:rPr>
          <w:rFonts w:cs="Arial"/>
          <w:i/>
          <w:iCs/>
        </w:rPr>
        <w:t>Enhancing Oral Health Access through Safety Net Partnerships: A Primer and Resource Guide for Medicaid Agencies</w:t>
      </w:r>
      <w:r w:rsidRPr="00777326">
        <w:rPr>
          <w:rFonts w:cs="Arial"/>
          <w:iCs/>
        </w:rPr>
        <w:t xml:space="preserve">, National Academy for State Health Policy, 2015. </w:t>
      </w:r>
      <w:proofErr w:type="gramStart"/>
      <w:r w:rsidRPr="00777326">
        <w:rPr>
          <w:rFonts w:cs="Arial"/>
          <w:iCs/>
        </w:rPr>
        <w:t>Accessed June 2016</w:t>
      </w:r>
      <w:r w:rsidR="00CE4122">
        <w:rPr>
          <w:rFonts w:cs="Arial"/>
          <w:iCs/>
        </w:rPr>
        <w:t>.</w:t>
      </w:r>
      <w:proofErr w:type="gramEnd"/>
      <w:r w:rsidRPr="00777326">
        <w:rPr>
          <w:rFonts w:cs="Arial"/>
          <w:iCs/>
        </w:rPr>
        <w:t xml:space="preserve"> </w:t>
      </w:r>
    </w:p>
    <w:sectPr w:rsidR="0074745B" w:rsidRPr="00777326" w:rsidSect="00E4446C">
      <w:footerReference w:type="default" r:id="rId9"/>
      <w:pgSz w:w="12240" w:h="15840"/>
      <w:pgMar w:top="1440" w:right="1440" w:bottom="1440" w:left="1440" w:header="720" w:footer="720"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7A1C5A" w15:done="0"/>
  <w15:commentEx w15:paraId="189E944C" w15:done="0"/>
  <w15:commentEx w15:paraId="16ABEBCC" w15:done="0"/>
  <w15:commentEx w15:paraId="201ECACA" w15:done="0"/>
  <w15:commentEx w15:paraId="72D4041A" w15:done="0"/>
  <w15:commentEx w15:paraId="5C81AFD3" w15:done="0"/>
  <w15:commentEx w15:paraId="2C8D94CE" w15:done="0"/>
  <w15:commentEx w15:paraId="463D0325" w15:done="0"/>
  <w15:commentEx w15:paraId="15E167FC" w15:done="0"/>
  <w15:commentEx w15:paraId="76430CC3" w15:done="0"/>
  <w15:commentEx w15:paraId="054D9040" w15:done="0"/>
  <w15:commentEx w15:paraId="06AC1C8B" w15:done="0"/>
  <w15:commentEx w15:paraId="3FD61A10" w15:done="0"/>
  <w15:commentEx w15:paraId="43BB270F" w15:done="0"/>
  <w15:commentEx w15:paraId="0BA3A106" w15:done="0"/>
  <w15:commentEx w15:paraId="1F651862" w15:done="0"/>
  <w15:commentEx w15:paraId="438772E8" w15:done="0"/>
  <w15:commentEx w15:paraId="046519BC" w15:done="0"/>
  <w15:commentEx w15:paraId="3598E244" w15:done="0"/>
  <w15:commentEx w15:paraId="452D218C" w15:done="0"/>
  <w15:commentEx w15:paraId="6F6CBF57" w15:done="0"/>
  <w15:commentEx w15:paraId="39F55162" w15:done="0"/>
  <w15:commentEx w15:paraId="1D05D053" w15:done="0"/>
  <w15:commentEx w15:paraId="13400248" w15:done="0"/>
  <w15:commentEx w15:paraId="19A44A4B" w15:done="0"/>
  <w15:commentEx w15:paraId="4EC2D352" w15:done="0"/>
  <w15:commentEx w15:paraId="50CCD26E" w15:done="0"/>
  <w15:commentEx w15:paraId="4998E441" w15:done="0"/>
  <w15:commentEx w15:paraId="097962D7" w15:done="0"/>
  <w15:commentEx w15:paraId="62C07D3B" w15:done="0"/>
  <w15:commentEx w15:paraId="10D181B0" w15:done="0"/>
  <w15:commentEx w15:paraId="7B838F6B" w15:done="0"/>
  <w15:commentEx w15:paraId="5068FD86" w15:done="0"/>
  <w15:commentEx w15:paraId="66D2ED8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68C36" w14:textId="77777777" w:rsidR="00B84367" w:rsidRDefault="00B84367" w:rsidP="00637B64">
      <w:pPr>
        <w:spacing w:after="0" w:line="240" w:lineRule="auto"/>
      </w:pPr>
      <w:r>
        <w:separator/>
      </w:r>
    </w:p>
  </w:endnote>
  <w:endnote w:type="continuationSeparator" w:id="0">
    <w:p w14:paraId="496BAE01" w14:textId="77777777" w:rsidR="00B84367" w:rsidRDefault="00B84367" w:rsidP="00637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charset w:val="00"/>
    <w:family w:val="auto"/>
    <w:pitch w:val="default"/>
  </w:font>
  <w:font w:name="ヒラギノ角ゴ Pro W3">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940595"/>
      <w:docPartObj>
        <w:docPartGallery w:val="Page Numbers (Bottom of Page)"/>
        <w:docPartUnique/>
      </w:docPartObj>
    </w:sdtPr>
    <w:sdtEndPr>
      <w:rPr>
        <w:noProof/>
      </w:rPr>
    </w:sdtEndPr>
    <w:sdtContent>
      <w:p w14:paraId="3AA12732" w14:textId="77777777" w:rsidR="00E4446C" w:rsidRDefault="00E4446C">
        <w:pPr>
          <w:pStyle w:val="Footer"/>
          <w:jc w:val="center"/>
        </w:pPr>
        <w:r>
          <w:fldChar w:fldCharType="begin"/>
        </w:r>
        <w:r>
          <w:instrText xml:space="preserve"> PAGE   \* MERGEFORMAT </w:instrText>
        </w:r>
        <w:r>
          <w:fldChar w:fldCharType="separate"/>
        </w:r>
        <w:r w:rsidR="009254BD">
          <w:rPr>
            <w:noProof/>
          </w:rPr>
          <w:t>1</w:t>
        </w:r>
        <w:r>
          <w:rPr>
            <w:noProof/>
          </w:rPr>
          <w:fldChar w:fldCharType="end"/>
        </w:r>
      </w:p>
    </w:sdtContent>
  </w:sdt>
  <w:p w14:paraId="53697750" w14:textId="77777777" w:rsidR="00E4446C" w:rsidRDefault="00E444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D93C1F" w14:textId="77777777" w:rsidR="00B84367" w:rsidRDefault="00B84367" w:rsidP="00637B64">
      <w:pPr>
        <w:spacing w:after="0" w:line="240" w:lineRule="auto"/>
      </w:pPr>
      <w:r>
        <w:separator/>
      </w:r>
    </w:p>
  </w:footnote>
  <w:footnote w:type="continuationSeparator" w:id="0">
    <w:p w14:paraId="0936C341" w14:textId="77777777" w:rsidR="00B84367" w:rsidRDefault="00B84367" w:rsidP="00637B64">
      <w:pPr>
        <w:spacing w:after="0" w:line="240" w:lineRule="auto"/>
      </w:pPr>
      <w:r>
        <w:continuationSeparator/>
      </w:r>
    </w:p>
  </w:footnote>
  <w:footnote w:id="1">
    <w:p w14:paraId="68E7B2FC" w14:textId="77777777" w:rsidR="00E648B6" w:rsidRDefault="00E648B6">
      <w:pPr>
        <w:pStyle w:val="FootnoteText"/>
      </w:pPr>
      <w:r>
        <w:rPr>
          <w:rStyle w:val="FootnoteReference"/>
        </w:rPr>
        <w:footnoteRef/>
      </w:r>
      <w:r>
        <w:t xml:space="preserve"> The Aging Network comprises the Administration on Aging, state units on aging, area agencies on aging and the associated aging services providers. </w:t>
      </w:r>
    </w:p>
  </w:footnote>
  <w:footnote w:id="2">
    <w:p w14:paraId="24B461BC" w14:textId="717647BE" w:rsidR="00DD1907" w:rsidRDefault="00DD1907">
      <w:pPr>
        <w:pStyle w:val="FootnoteText"/>
      </w:pPr>
      <w:r>
        <w:rPr>
          <w:rStyle w:val="FootnoteReference"/>
        </w:rPr>
        <w:footnoteRef/>
      </w:r>
      <w:r>
        <w:t xml:space="preserve"> i.e., cavities</w:t>
      </w:r>
    </w:p>
  </w:footnote>
  <w:footnote w:id="3">
    <w:p w14:paraId="1BCA6BF4" w14:textId="77777777" w:rsidR="00930767" w:rsidRDefault="00930767">
      <w:pPr>
        <w:pStyle w:val="FootnoteText"/>
      </w:pPr>
      <w:r>
        <w:rPr>
          <w:rStyle w:val="FootnoteReference"/>
        </w:rPr>
        <w:footnoteRef/>
      </w:r>
      <w:r>
        <w:t xml:space="preserve"> “Look-alikes” are community health centers that meet all requirements for federally qualified health centers, but do not receive HRSA funds. </w:t>
      </w:r>
      <w:r w:rsidR="00CC7ACB">
        <w:t>Seventy of the 1400 Community Health Centers are “look-alikes.”</w:t>
      </w:r>
    </w:p>
  </w:footnote>
  <w:footnote w:id="4">
    <w:p w14:paraId="7DF19FAE" w14:textId="16D7D47F" w:rsidR="006B24C7" w:rsidRDefault="006B24C7">
      <w:pPr>
        <w:pStyle w:val="FootnoteText"/>
      </w:pPr>
      <w:r>
        <w:rPr>
          <w:rStyle w:val="FootnoteReference"/>
        </w:rPr>
        <w:footnoteRef/>
      </w:r>
      <w:r>
        <w:t xml:space="preserve"> Note that Medicaid dental services are mandatory for children under the Affordable Care Act. </w:t>
      </w:r>
    </w:p>
  </w:footnote>
  <w:footnote w:id="5">
    <w:p w14:paraId="66718B3F" w14:textId="77777777" w:rsidR="00946041" w:rsidRDefault="00946041" w:rsidP="00946041">
      <w:pPr>
        <w:pStyle w:val="FootnoteText"/>
      </w:pPr>
      <w:r>
        <w:rPr>
          <w:rStyle w:val="FootnoteReference"/>
        </w:rPr>
        <w:footnoteRef/>
      </w:r>
      <w:r>
        <w:t xml:space="preserve"> </w:t>
      </w:r>
      <w:r w:rsidRPr="00AE0FA2">
        <w:rPr>
          <w:i/>
        </w:rPr>
        <w:t>Advancing Oral Health in America</w:t>
      </w:r>
      <w:r>
        <w:t xml:space="preserve">, April 2011 and </w:t>
      </w:r>
      <w:r w:rsidRPr="00AE0FA2">
        <w:rPr>
          <w:i/>
        </w:rPr>
        <w:t>Improving Access to Oral Health Care for Vulnerable and Underserved Populations</w:t>
      </w:r>
      <w:r>
        <w:t xml:space="preserve">, July 2011.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894EE877"/>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cs="Times New Roman"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cs="Times New Roman"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cs="Times New Roman"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1">
    <w:nsid w:val="092800D4"/>
    <w:multiLevelType w:val="multilevel"/>
    <w:tmpl w:val="E4FC2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CB766D"/>
    <w:multiLevelType w:val="hybridMultilevel"/>
    <w:tmpl w:val="05724D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77535E"/>
    <w:multiLevelType w:val="hybridMultilevel"/>
    <w:tmpl w:val="14CAE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0361B0"/>
    <w:multiLevelType w:val="multilevel"/>
    <w:tmpl w:val="BD668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51551D0"/>
    <w:multiLevelType w:val="hybridMultilevel"/>
    <w:tmpl w:val="9A4E11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680464D"/>
    <w:multiLevelType w:val="hybridMultilevel"/>
    <w:tmpl w:val="EB022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9CF24E0"/>
    <w:multiLevelType w:val="hybridMultilevel"/>
    <w:tmpl w:val="A5E2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384976"/>
    <w:multiLevelType w:val="hybridMultilevel"/>
    <w:tmpl w:val="E8D618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0C079A2"/>
    <w:multiLevelType w:val="hybridMultilevel"/>
    <w:tmpl w:val="04E41DCA"/>
    <w:lvl w:ilvl="0" w:tplc="A67A010C">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8A6E21"/>
    <w:multiLevelType w:val="hybridMultilevel"/>
    <w:tmpl w:val="6D2CC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0E5C71"/>
    <w:multiLevelType w:val="hybridMultilevel"/>
    <w:tmpl w:val="55A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595501"/>
    <w:multiLevelType w:val="hybridMultilevel"/>
    <w:tmpl w:val="79F2C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8864DC"/>
    <w:multiLevelType w:val="hybridMultilevel"/>
    <w:tmpl w:val="3540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206D39"/>
    <w:multiLevelType w:val="hybridMultilevel"/>
    <w:tmpl w:val="4CBEAB04"/>
    <w:lvl w:ilvl="0" w:tplc="3100332C">
      <w:start w:val="1"/>
      <w:numFmt w:val="decimal"/>
      <w:lvlText w:val="%1."/>
      <w:lvlJc w:val="left"/>
      <w:pPr>
        <w:ind w:left="720" w:hanging="360"/>
      </w:pPr>
      <w:rPr>
        <w:rFonts w:asciiTheme="minorHAnsi" w:hAnsiTheme="minorHAnsi" w:hint="default"/>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FD78F1"/>
    <w:multiLevelType w:val="hybridMultilevel"/>
    <w:tmpl w:val="F5FA3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EF2492"/>
    <w:multiLevelType w:val="hybridMultilevel"/>
    <w:tmpl w:val="A4B41E2A"/>
    <w:lvl w:ilvl="0" w:tplc="A67A010C">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783FD6"/>
    <w:multiLevelType w:val="hybridMultilevel"/>
    <w:tmpl w:val="80860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6"/>
  </w:num>
  <w:num w:numId="4">
    <w:abstractNumId w:val="2"/>
  </w:num>
  <w:num w:numId="5">
    <w:abstractNumId w:val="9"/>
  </w:num>
  <w:num w:numId="6">
    <w:abstractNumId w:val="10"/>
  </w:num>
  <w:num w:numId="7">
    <w:abstractNumId w:val="6"/>
  </w:num>
  <w:num w:numId="8">
    <w:abstractNumId w:val="13"/>
  </w:num>
  <w:num w:numId="9">
    <w:abstractNumId w:val="8"/>
  </w:num>
  <w:num w:numId="10">
    <w:abstractNumId w:val="11"/>
  </w:num>
  <w:num w:numId="11">
    <w:abstractNumId w:val="7"/>
  </w:num>
  <w:num w:numId="12">
    <w:abstractNumId w:val="1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4"/>
  </w:num>
  <w:num w:numId="17">
    <w:abstractNumId w:val="5"/>
  </w:num>
  <w:num w:numId="18">
    <w:abstractNumId w:val="3"/>
  </w:num>
  <w:num w:numId="19">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cGuire, Lisa (CDC/ONDIEH/NCCDPHP)">
    <w15:presenceInfo w15:providerId="AD" w15:userId="S-1-5-21-1207783550-2075000910-922709458-199515"/>
  </w15:person>
  <w15:person w15:author="Ellen Blackwell BB">
    <w15:presenceInfo w15:providerId="AD" w15:userId="S-1-5-21-4095628063-3556742122-3606576086-106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BC1"/>
    <w:rsid w:val="000002EB"/>
    <w:rsid w:val="0001008D"/>
    <w:rsid w:val="00021C8C"/>
    <w:rsid w:val="000224AA"/>
    <w:rsid w:val="000253F4"/>
    <w:rsid w:val="00030627"/>
    <w:rsid w:val="000308C8"/>
    <w:rsid w:val="00032273"/>
    <w:rsid w:val="00032797"/>
    <w:rsid w:val="00045D08"/>
    <w:rsid w:val="000547E0"/>
    <w:rsid w:val="000624A3"/>
    <w:rsid w:val="000706B9"/>
    <w:rsid w:val="00071F50"/>
    <w:rsid w:val="00074005"/>
    <w:rsid w:val="00083A9B"/>
    <w:rsid w:val="0008731E"/>
    <w:rsid w:val="00093D23"/>
    <w:rsid w:val="00094764"/>
    <w:rsid w:val="00094F48"/>
    <w:rsid w:val="000970A3"/>
    <w:rsid w:val="00097264"/>
    <w:rsid w:val="000A045E"/>
    <w:rsid w:val="000A63E3"/>
    <w:rsid w:val="000B11B8"/>
    <w:rsid w:val="000B477A"/>
    <w:rsid w:val="000B6069"/>
    <w:rsid w:val="000D5407"/>
    <w:rsid w:val="000E190B"/>
    <w:rsid w:val="000E257C"/>
    <w:rsid w:val="00100261"/>
    <w:rsid w:val="0010292C"/>
    <w:rsid w:val="00106DA8"/>
    <w:rsid w:val="001079A5"/>
    <w:rsid w:val="001257B8"/>
    <w:rsid w:val="00127FD3"/>
    <w:rsid w:val="00130A4C"/>
    <w:rsid w:val="0013256A"/>
    <w:rsid w:val="001350ED"/>
    <w:rsid w:val="00137751"/>
    <w:rsid w:val="00141A16"/>
    <w:rsid w:val="00163134"/>
    <w:rsid w:val="00177D2F"/>
    <w:rsid w:val="00185F25"/>
    <w:rsid w:val="0018604E"/>
    <w:rsid w:val="00186E41"/>
    <w:rsid w:val="00192BEF"/>
    <w:rsid w:val="00195232"/>
    <w:rsid w:val="00196B99"/>
    <w:rsid w:val="00196E86"/>
    <w:rsid w:val="001B59FB"/>
    <w:rsid w:val="001C3624"/>
    <w:rsid w:val="001D14A9"/>
    <w:rsid w:val="001D270A"/>
    <w:rsid w:val="001D4C72"/>
    <w:rsid w:val="001E0D5E"/>
    <w:rsid w:val="001E150C"/>
    <w:rsid w:val="001E2AEC"/>
    <w:rsid w:val="001E73B9"/>
    <w:rsid w:val="001F0DB6"/>
    <w:rsid w:val="001F4638"/>
    <w:rsid w:val="0020117E"/>
    <w:rsid w:val="00203322"/>
    <w:rsid w:val="00212163"/>
    <w:rsid w:val="00215940"/>
    <w:rsid w:val="00215CF6"/>
    <w:rsid w:val="00226428"/>
    <w:rsid w:val="00226A92"/>
    <w:rsid w:val="00235C25"/>
    <w:rsid w:val="00237D70"/>
    <w:rsid w:val="00241D7C"/>
    <w:rsid w:val="00244C77"/>
    <w:rsid w:val="00246CA8"/>
    <w:rsid w:val="00253663"/>
    <w:rsid w:val="00263285"/>
    <w:rsid w:val="00272CE4"/>
    <w:rsid w:val="00280E06"/>
    <w:rsid w:val="00283445"/>
    <w:rsid w:val="0028480A"/>
    <w:rsid w:val="0029197A"/>
    <w:rsid w:val="002A02B7"/>
    <w:rsid w:val="002A1193"/>
    <w:rsid w:val="002A1B5D"/>
    <w:rsid w:val="002A352A"/>
    <w:rsid w:val="002B3FAF"/>
    <w:rsid w:val="002B4510"/>
    <w:rsid w:val="002B7CCB"/>
    <w:rsid w:val="002C53F2"/>
    <w:rsid w:val="002D0BC1"/>
    <w:rsid w:val="002D708F"/>
    <w:rsid w:val="002E0030"/>
    <w:rsid w:val="00301A56"/>
    <w:rsid w:val="00301F8D"/>
    <w:rsid w:val="00313781"/>
    <w:rsid w:val="00317C1C"/>
    <w:rsid w:val="00324BBA"/>
    <w:rsid w:val="003345E7"/>
    <w:rsid w:val="00334ECA"/>
    <w:rsid w:val="0033769E"/>
    <w:rsid w:val="00352830"/>
    <w:rsid w:val="00356F20"/>
    <w:rsid w:val="003672CA"/>
    <w:rsid w:val="0037240B"/>
    <w:rsid w:val="00387B78"/>
    <w:rsid w:val="00391592"/>
    <w:rsid w:val="00395D5B"/>
    <w:rsid w:val="00397B49"/>
    <w:rsid w:val="003A0C1A"/>
    <w:rsid w:val="003A14C6"/>
    <w:rsid w:val="003A6584"/>
    <w:rsid w:val="003B3138"/>
    <w:rsid w:val="003C464D"/>
    <w:rsid w:val="003C6BF0"/>
    <w:rsid w:val="003D1797"/>
    <w:rsid w:val="003D1EDE"/>
    <w:rsid w:val="003D56D8"/>
    <w:rsid w:val="003E2FCB"/>
    <w:rsid w:val="003E3FBA"/>
    <w:rsid w:val="003E42DB"/>
    <w:rsid w:val="003F49DF"/>
    <w:rsid w:val="003F6AEF"/>
    <w:rsid w:val="0040114C"/>
    <w:rsid w:val="00404E6D"/>
    <w:rsid w:val="00412412"/>
    <w:rsid w:val="00416B25"/>
    <w:rsid w:val="0042204F"/>
    <w:rsid w:val="00427317"/>
    <w:rsid w:val="00435D75"/>
    <w:rsid w:val="00443969"/>
    <w:rsid w:val="00456D47"/>
    <w:rsid w:val="00465E61"/>
    <w:rsid w:val="00473F54"/>
    <w:rsid w:val="00484F5D"/>
    <w:rsid w:val="00495BA0"/>
    <w:rsid w:val="00497530"/>
    <w:rsid w:val="004A2E88"/>
    <w:rsid w:val="004A3FD5"/>
    <w:rsid w:val="004A40A8"/>
    <w:rsid w:val="004A71A9"/>
    <w:rsid w:val="004B4D29"/>
    <w:rsid w:val="004C12B9"/>
    <w:rsid w:val="004C6DA6"/>
    <w:rsid w:val="004D59A7"/>
    <w:rsid w:val="004E4DA4"/>
    <w:rsid w:val="004E659D"/>
    <w:rsid w:val="004F6362"/>
    <w:rsid w:val="005017FD"/>
    <w:rsid w:val="00520791"/>
    <w:rsid w:val="005277A6"/>
    <w:rsid w:val="00530265"/>
    <w:rsid w:val="00546107"/>
    <w:rsid w:val="00546E83"/>
    <w:rsid w:val="0055104A"/>
    <w:rsid w:val="0056562A"/>
    <w:rsid w:val="00573504"/>
    <w:rsid w:val="005761E5"/>
    <w:rsid w:val="00585B18"/>
    <w:rsid w:val="005874A2"/>
    <w:rsid w:val="00597425"/>
    <w:rsid w:val="005A3F82"/>
    <w:rsid w:val="005B116E"/>
    <w:rsid w:val="005B1F21"/>
    <w:rsid w:val="005B2217"/>
    <w:rsid w:val="005C2685"/>
    <w:rsid w:val="005C4DCA"/>
    <w:rsid w:val="005C6A50"/>
    <w:rsid w:val="005D396C"/>
    <w:rsid w:val="005D57D6"/>
    <w:rsid w:val="005D76DE"/>
    <w:rsid w:val="005E5C4F"/>
    <w:rsid w:val="005E6C59"/>
    <w:rsid w:val="005F0554"/>
    <w:rsid w:val="005F14DA"/>
    <w:rsid w:val="005F2230"/>
    <w:rsid w:val="005F51AF"/>
    <w:rsid w:val="005F5339"/>
    <w:rsid w:val="0060727B"/>
    <w:rsid w:val="00614C02"/>
    <w:rsid w:val="00621305"/>
    <w:rsid w:val="0062459C"/>
    <w:rsid w:val="00633F48"/>
    <w:rsid w:val="00637B64"/>
    <w:rsid w:val="00644F70"/>
    <w:rsid w:val="00660641"/>
    <w:rsid w:val="00662145"/>
    <w:rsid w:val="00665189"/>
    <w:rsid w:val="0066572E"/>
    <w:rsid w:val="006658AA"/>
    <w:rsid w:val="00674F95"/>
    <w:rsid w:val="00676245"/>
    <w:rsid w:val="00685602"/>
    <w:rsid w:val="006868CB"/>
    <w:rsid w:val="0069737D"/>
    <w:rsid w:val="006A41B0"/>
    <w:rsid w:val="006A72D9"/>
    <w:rsid w:val="006B24C7"/>
    <w:rsid w:val="006B5D30"/>
    <w:rsid w:val="006B7533"/>
    <w:rsid w:val="006C6558"/>
    <w:rsid w:val="006D4681"/>
    <w:rsid w:val="006D6BCB"/>
    <w:rsid w:val="006E025F"/>
    <w:rsid w:val="006E0AB2"/>
    <w:rsid w:val="006E55E1"/>
    <w:rsid w:val="006F28C6"/>
    <w:rsid w:val="00700C6F"/>
    <w:rsid w:val="007023FB"/>
    <w:rsid w:val="00703397"/>
    <w:rsid w:val="00703D4A"/>
    <w:rsid w:val="00706C77"/>
    <w:rsid w:val="00717490"/>
    <w:rsid w:val="00717F15"/>
    <w:rsid w:val="00720D7E"/>
    <w:rsid w:val="00731A7F"/>
    <w:rsid w:val="00732C8D"/>
    <w:rsid w:val="00735450"/>
    <w:rsid w:val="00737170"/>
    <w:rsid w:val="00737392"/>
    <w:rsid w:val="007469CC"/>
    <w:rsid w:val="0074745B"/>
    <w:rsid w:val="00751B39"/>
    <w:rsid w:val="00753D8E"/>
    <w:rsid w:val="00756DC4"/>
    <w:rsid w:val="00765340"/>
    <w:rsid w:val="00765DB2"/>
    <w:rsid w:val="00766094"/>
    <w:rsid w:val="007743F3"/>
    <w:rsid w:val="00777326"/>
    <w:rsid w:val="00781D35"/>
    <w:rsid w:val="0078477D"/>
    <w:rsid w:val="00791B19"/>
    <w:rsid w:val="007A1257"/>
    <w:rsid w:val="007A13AA"/>
    <w:rsid w:val="007A3632"/>
    <w:rsid w:val="007A6C45"/>
    <w:rsid w:val="007A6EDD"/>
    <w:rsid w:val="007C17AC"/>
    <w:rsid w:val="007C1E09"/>
    <w:rsid w:val="007E3D36"/>
    <w:rsid w:val="007E4C62"/>
    <w:rsid w:val="007E6ADE"/>
    <w:rsid w:val="007F1880"/>
    <w:rsid w:val="0080408E"/>
    <w:rsid w:val="00811168"/>
    <w:rsid w:val="00824A8F"/>
    <w:rsid w:val="00827829"/>
    <w:rsid w:val="0083199F"/>
    <w:rsid w:val="00844D4D"/>
    <w:rsid w:val="00861520"/>
    <w:rsid w:val="00872BE2"/>
    <w:rsid w:val="00873DBB"/>
    <w:rsid w:val="00873F74"/>
    <w:rsid w:val="0087599F"/>
    <w:rsid w:val="00876EE0"/>
    <w:rsid w:val="00887239"/>
    <w:rsid w:val="0089088E"/>
    <w:rsid w:val="008919E4"/>
    <w:rsid w:val="008A486F"/>
    <w:rsid w:val="008C5457"/>
    <w:rsid w:val="008C73CB"/>
    <w:rsid w:val="008D17F3"/>
    <w:rsid w:val="008E42C6"/>
    <w:rsid w:val="008F02B1"/>
    <w:rsid w:val="008F360C"/>
    <w:rsid w:val="00900604"/>
    <w:rsid w:val="00901E11"/>
    <w:rsid w:val="00914CD4"/>
    <w:rsid w:val="00915582"/>
    <w:rsid w:val="009168B6"/>
    <w:rsid w:val="009254BD"/>
    <w:rsid w:val="009259C7"/>
    <w:rsid w:val="009270D4"/>
    <w:rsid w:val="00930767"/>
    <w:rsid w:val="0094483F"/>
    <w:rsid w:val="00946041"/>
    <w:rsid w:val="009463A5"/>
    <w:rsid w:val="00956D54"/>
    <w:rsid w:val="00962C8F"/>
    <w:rsid w:val="009707C1"/>
    <w:rsid w:val="00971AE9"/>
    <w:rsid w:val="00972373"/>
    <w:rsid w:val="00974092"/>
    <w:rsid w:val="009763A6"/>
    <w:rsid w:val="00986459"/>
    <w:rsid w:val="00992836"/>
    <w:rsid w:val="00992994"/>
    <w:rsid w:val="00997F54"/>
    <w:rsid w:val="009A1814"/>
    <w:rsid w:val="009B6CBB"/>
    <w:rsid w:val="009B76C3"/>
    <w:rsid w:val="009C61E9"/>
    <w:rsid w:val="009C6C2F"/>
    <w:rsid w:val="009D4ED5"/>
    <w:rsid w:val="009D631A"/>
    <w:rsid w:val="00A04FE5"/>
    <w:rsid w:val="00A06BF0"/>
    <w:rsid w:val="00A12284"/>
    <w:rsid w:val="00A214FF"/>
    <w:rsid w:val="00A2630B"/>
    <w:rsid w:val="00A44769"/>
    <w:rsid w:val="00A51E46"/>
    <w:rsid w:val="00A55F32"/>
    <w:rsid w:val="00A573E5"/>
    <w:rsid w:val="00A86E13"/>
    <w:rsid w:val="00A94B38"/>
    <w:rsid w:val="00A960FF"/>
    <w:rsid w:val="00A9742D"/>
    <w:rsid w:val="00AA084B"/>
    <w:rsid w:val="00AA3106"/>
    <w:rsid w:val="00AB1382"/>
    <w:rsid w:val="00AB20F9"/>
    <w:rsid w:val="00AB40AE"/>
    <w:rsid w:val="00AC3ECA"/>
    <w:rsid w:val="00AC53F5"/>
    <w:rsid w:val="00AC7806"/>
    <w:rsid w:val="00AD0E9A"/>
    <w:rsid w:val="00AD103F"/>
    <w:rsid w:val="00AD664A"/>
    <w:rsid w:val="00AE0FA2"/>
    <w:rsid w:val="00AF2A23"/>
    <w:rsid w:val="00AF6DD2"/>
    <w:rsid w:val="00AF7B97"/>
    <w:rsid w:val="00B129EB"/>
    <w:rsid w:val="00B16D45"/>
    <w:rsid w:val="00B17F6A"/>
    <w:rsid w:val="00B27E35"/>
    <w:rsid w:val="00B32BC4"/>
    <w:rsid w:val="00B442B6"/>
    <w:rsid w:val="00B45BA6"/>
    <w:rsid w:val="00B53161"/>
    <w:rsid w:val="00B540C4"/>
    <w:rsid w:val="00B61F30"/>
    <w:rsid w:val="00B65126"/>
    <w:rsid w:val="00B66EBA"/>
    <w:rsid w:val="00B7006A"/>
    <w:rsid w:val="00B74AB3"/>
    <w:rsid w:val="00B84367"/>
    <w:rsid w:val="00B90A3B"/>
    <w:rsid w:val="00B96A88"/>
    <w:rsid w:val="00B973BB"/>
    <w:rsid w:val="00BA2C4F"/>
    <w:rsid w:val="00BA32E0"/>
    <w:rsid w:val="00BA5BAA"/>
    <w:rsid w:val="00BC1B29"/>
    <w:rsid w:val="00BC467B"/>
    <w:rsid w:val="00BE1078"/>
    <w:rsid w:val="00BF31AC"/>
    <w:rsid w:val="00BF4FD4"/>
    <w:rsid w:val="00BF52A7"/>
    <w:rsid w:val="00C01CA5"/>
    <w:rsid w:val="00C03016"/>
    <w:rsid w:val="00C065F1"/>
    <w:rsid w:val="00C15F7F"/>
    <w:rsid w:val="00C16024"/>
    <w:rsid w:val="00C16596"/>
    <w:rsid w:val="00C219E2"/>
    <w:rsid w:val="00C225FB"/>
    <w:rsid w:val="00C24144"/>
    <w:rsid w:val="00C268E1"/>
    <w:rsid w:val="00C26BAB"/>
    <w:rsid w:val="00C26BC3"/>
    <w:rsid w:val="00C31B01"/>
    <w:rsid w:val="00C31DE3"/>
    <w:rsid w:val="00C3775E"/>
    <w:rsid w:val="00C44451"/>
    <w:rsid w:val="00C51167"/>
    <w:rsid w:val="00C53247"/>
    <w:rsid w:val="00C549A9"/>
    <w:rsid w:val="00C54FA5"/>
    <w:rsid w:val="00C72594"/>
    <w:rsid w:val="00C8127B"/>
    <w:rsid w:val="00C82849"/>
    <w:rsid w:val="00C93C6F"/>
    <w:rsid w:val="00CB63BE"/>
    <w:rsid w:val="00CB708D"/>
    <w:rsid w:val="00CC0527"/>
    <w:rsid w:val="00CC400C"/>
    <w:rsid w:val="00CC7ACB"/>
    <w:rsid w:val="00CD04A0"/>
    <w:rsid w:val="00CD07FB"/>
    <w:rsid w:val="00CE4041"/>
    <w:rsid w:val="00CE4122"/>
    <w:rsid w:val="00CE4C8D"/>
    <w:rsid w:val="00CF6FE1"/>
    <w:rsid w:val="00D03DE2"/>
    <w:rsid w:val="00D12052"/>
    <w:rsid w:val="00D145CF"/>
    <w:rsid w:val="00D179A6"/>
    <w:rsid w:val="00D17AA9"/>
    <w:rsid w:val="00D21262"/>
    <w:rsid w:val="00D30A34"/>
    <w:rsid w:val="00D31179"/>
    <w:rsid w:val="00D40675"/>
    <w:rsid w:val="00D40A1A"/>
    <w:rsid w:val="00D50343"/>
    <w:rsid w:val="00D55FC1"/>
    <w:rsid w:val="00D727CB"/>
    <w:rsid w:val="00D745FE"/>
    <w:rsid w:val="00D819B0"/>
    <w:rsid w:val="00D84566"/>
    <w:rsid w:val="00D85FC4"/>
    <w:rsid w:val="00D90F77"/>
    <w:rsid w:val="00D94B97"/>
    <w:rsid w:val="00D96B23"/>
    <w:rsid w:val="00DC4CBC"/>
    <w:rsid w:val="00DD1907"/>
    <w:rsid w:val="00DD2FE1"/>
    <w:rsid w:val="00DD7447"/>
    <w:rsid w:val="00DE310E"/>
    <w:rsid w:val="00DE63D5"/>
    <w:rsid w:val="00E04D1D"/>
    <w:rsid w:val="00E1103B"/>
    <w:rsid w:val="00E14F32"/>
    <w:rsid w:val="00E1756A"/>
    <w:rsid w:val="00E17EED"/>
    <w:rsid w:val="00E3165A"/>
    <w:rsid w:val="00E40439"/>
    <w:rsid w:val="00E412AE"/>
    <w:rsid w:val="00E4446C"/>
    <w:rsid w:val="00E45D9B"/>
    <w:rsid w:val="00E46146"/>
    <w:rsid w:val="00E55386"/>
    <w:rsid w:val="00E57D95"/>
    <w:rsid w:val="00E6293B"/>
    <w:rsid w:val="00E648B6"/>
    <w:rsid w:val="00E66EA5"/>
    <w:rsid w:val="00E77224"/>
    <w:rsid w:val="00E8436E"/>
    <w:rsid w:val="00E87206"/>
    <w:rsid w:val="00E90242"/>
    <w:rsid w:val="00E940DF"/>
    <w:rsid w:val="00E9522A"/>
    <w:rsid w:val="00E956E2"/>
    <w:rsid w:val="00E9638F"/>
    <w:rsid w:val="00E96694"/>
    <w:rsid w:val="00EA0777"/>
    <w:rsid w:val="00EA2CF2"/>
    <w:rsid w:val="00EA4AF3"/>
    <w:rsid w:val="00EA720F"/>
    <w:rsid w:val="00EB700A"/>
    <w:rsid w:val="00EC2961"/>
    <w:rsid w:val="00EC460E"/>
    <w:rsid w:val="00EC5F94"/>
    <w:rsid w:val="00EE30F8"/>
    <w:rsid w:val="00EE32BF"/>
    <w:rsid w:val="00F01471"/>
    <w:rsid w:val="00F030B5"/>
    <w:rsid w:val="00F053EE"/>
    <w:rsid w:val="00F104A3"/>
    <w:rsid w:val="00F15447"/>
    <w:rsid w:val="00F2118D"/>
    <w:rsid w:val="00F36B7E"/>
    <w:rsid w:val="00F40026"/>
    <w:rsid w:val="00F42F60"/>
    <w:rsid w:val="00F509FA"/>
    <w:rsid w:val="00F50AED"/>
    <w:rsid w:val="00F56120"/>
    <w:rsid w:val="00F570BE"/>
    <w:rsid w:val="00F644E4"/>
    <w:rsid w:val="00F703A4"/>
    <w:rsid w:val="00F7693D"/>
    <w:rsid w:val="00F77E20"/>
    <w:rsid w:val="00F865CC"/>
    <w:rsid w:val="00F86CE1"/>
    <w:rsid w:val="00F86E50"/>
    <w:rsid w:val="00FB557E"/>
    <w:rsid w:val="00FB5A2E"/>
    <w:rsid w:val="00FE1AFB"/>
    <w:rsid w:val="00FF0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DC05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7F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D85FC4"/>
    <w:rPr>
      <w:i/>
      <w:iCs/>
    </w:rPr>
  </w:style>
  <w:style w:type="character" w:styleId="Hyperlink">
    <w:name w:val="Hyperlink"/>
    <w:basedOn w:val="DefaultParagraphFont"/>
    <w:uiPriority w:val="99"/>
    <w:unhideWhenUsed/>
    <w:rsid w:val="00D85FC4"/>
    <w:rPr>
      <w:color w:val="0000FF" w:themeColor="hyperlink"/>
      <w:u w:val="single"/>
    </w:rPr>
  </w:style>
  <w:style w:type="character" w:styleId="FollowedHyperlink">
    <w:name w:val="FollowedHyperlink"/>
    <w:basedOn w:val="DefaultParagraphFont"/>
    <w:uiPriority w:val="99"/>
    <w:semiHidden/>
    <w:unhideWhenUsed/>
    <w:rsid w:val="00D85FC4"/>
    <w:rPr>
      <w:color w:val="800080" w:themeColor="followedHyperlink"/>
      <w:u w:val="single"/>
    </w:rPr>
  </w:style>
  <w:style w:type="paragraph" w:customStyle="1" w:styleId="Default">
    <w:name w:val="Default"/>
    <w:rsid w:val="00B973B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017FD"/>
    <w:pPr>
      <w:ind w:left="720"/>
      <w:contextualSpacing/>
    </w:pPr>
  </w:style>
  <w:style w:type="character" w:styleId="Strong">
    <w:name w:val="Strong"/>
    <w:basedOn w:val="DefaultParagraphFont"/>
    <w:uiPriority w:val="22"/>
    <w:qFormat/>
    <w:rsid w:val="005D76DE"/>
    <w:rPr>
      <w:b/>
      <w:bCs/>
    </w:rPr>
  </w:style>
  <w:style w:type="paragraph" w:styleId="FootnoteText">
    <w:name w:val="footnote text"/>
    <w:basedOn w:val="Normal"/>
    <w:link w:val="FootnoteTextChar"/>
    <w:uiPriority w:val="99"/>
    <w:semiHidden/>
    <w:unhideWhenUsed/>
    <w:rsid w:val="00637B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7B64"/>
    <w:rPr>
      <w:sz w:val="20"/>
      <w:szCs w:val="20"/>
    </w:rPr>
  </w:style>
  <w:style w:type="character" w:styleId="FootnoteReference">
    <w:name w:val="footnote reference"/>
    <w:basedOn w:val="DefaultParagraphFont"/>
    <w:uiPriority w:val="99"/>
    <w:semiHidden/>
    <w:unhideWhenUsed/>
    <w:rsid w:val="00637B64"/>
    <w:rPr>
      <w:vertAlign w:val="superscript"/>
    </w:rPr>
  </w:style>
  <w:style w:type="paragraph" w:styleId="BalloonText">
    <w:name w:val="Balloon Text"/>
    <w:basedOn w:val="Normal"/>
    <w:link w:val="BalloonTextChar"/>
    <w:uiPriority w:val="99"/>
    <w:semiHidden/>
    <w:unhideWhenUsed/>
    <w:rsid w:val="00E95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22A"/>
    <w:rPr>
      <w:rFonts w:ascii="Tahoma" w:hAnsi="Tahoma" w:cs="Tahoma"/>
      <w:sz w:val="16"/>
      <w:szCs w:val="16"/>
    </w:rPr>
  </w:style>
  <w:style w:type="paragraph" w:styleId="NoSpacing">
    <w:name w:val="No Spacing"/>
    <w:basedOn w:val="Normal"/>
    <w:uiPriority w:val="1"/>
    <w:qFormat/>
    <w:rsid w:val="00241D7C"/>
    <w:pPr>
      <w:spacing w:after="0"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100261"/>
    <w:pPr>
      <w:spacing w:before="100" w:beforeAutospacing="1" w:after="100" w:afterAutospacing="1" w:line="336" w:lineRule="atLeas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44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46C"/>
  </w:style>
  <w:style w:type="paragraph" w:styleId="Footer">
    <w:name w:val="footer"/>
    <w:basedOn w:val="Normal"/>
    <w:link w:val="FooterChar"/>
    <w:uiPriority w:val="99"/>
    <w:unhideWhenUsed/>
    <w:rsid w:val="00E44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46C"/>
  </w:style>
  <w:style w:type="character" w:styleId="CommentReference">
    <w:name w:val="annotation reference"/>
    <w:basedOn w:val="DefaultParagraphFont"/>
    <w:uiPriority w:val="99"/>
    <w:semiHidden/>
    <w:unhideWhenUsed/>
    <w:rsid w:val="005E6C59"/>
    <w:rPr>
      <w:sz w:val="16"/>
      <w:szCs w:val="16"/>
    </w:rPr>
  </w:style>
  <w:style w:type="paragraph" w:styleId="CommentText">
    <w:name w:val="annotation text"/>
    <w:basedOn w:val="Normal"/>
    <w:link w:val="CommentTextChar"/>
    <w:uiPriority w:val="99"/>
    <w:semiHidden/>
    <w:unhideWhenUsed/>
    <w:rsid w:val="005E6C59"/>
    <w:pPr>
      <w:spacing w:line="240" w:lineRule="auto"/>
    </w:pPr>
    <w:rPr>
      <w:sz w:val="20"/>
      <w:szCs w:val="20"/>
    </w:rPr>
  </w:style>
  <w:style w:type="character" w:customStyle="1" w:styleId="CommentTextChar">
    <w:name w:val="Comment Text Char"/>
    <w:basedOn w:val="DefaultParagraphFont"/>
    <w:link w:val="CommentText"/>
    <w:uiPriority w:val="99"/>
    <w:semiHidden/>
    <w:rsid w:val="005E6C59"/>
    <w:rPr>
      <w:sz w:val="20"/>
      <w:szCs w:val="20"/>
    </w:rPr>
  </w:style>
  <w:style w:type="paragraph" w:styleId="CommentSubject">
    <w:name w:val="annotation subject"/>
    <w:basedOn w:val="CommentText"/>
    <w:next w:val="CommentText"/>
    <w:link w:val="CommentSubjectChar"/>
    <w:uiPriority w:val="99"/>
    <w:semiHidden/>
    <w:unhideWhenUsed/>
    <w:rsid w:val="005E6C59"/>
    <w:rPr>
      <w:b/>
      <w:bCs/>
    </w:rPr>
  </w:style>
  <w:style w:type="character" w:customStyle="1" w:styleId="CommentSubjectChar">
    <w:name w:val="Comment Subject Char"/>
    <w:basedOn w:val="CommentTextChar"/>
    <w:link w:val="CommentSubject"/>
    <w:uiPriority w:val="99"/>
    <w:semiHidden/>
    <w:rsid w:val="005E6C59"/>
    <w:rPr>
      <w:b/>
      <w:bCs/>
      <w:sz w:val="20"/>
      <w:szCs w:val="20"/>
    </w:rPr>
  </w:style>
  <w:style w:type="paragraph" w:styleId="Revision">
    <w:name w:val="Revision"/>
    <w:hidden/>
    <w:uiPriority w:val="99"/>
    <w:semiHidden/>
    <w:rsid w:val="00F104A3"/>
    <w:pPr>
      <w:spacing w:after="0" w:line="240" w:lineRule="auto"/>
    </w:pPr>
  </w:style>
  <w:style w:type="character" w:customStyle="1" w:styleId="Heading1Char">
    <w:name w:val="Heading 1 Char"/>
    <w:basedOn w:val="DefaultParagraphFont"/>
    <w:link w:val="Heading1"/>
    <w:uiPriority w:val="9"/>
    <w:rsid w:val="00717F1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7F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D85FC4"/>
    <w:rPr>
      <w:i/>
      <w:iCs/>
    </w:rPr>
  </w:style>
  <w:style w:type="character" w:styleId="Hyperlink">
    <w:name w:val="Hyperlink"/>
    <w:basedOn w:val="DefaultParagraphFont"/>
    <w:uiPriority w:val="99"/>
    <w:unhideWhenUsed/>
    <w:rsid w:val="00D85FC4"/>
    <w:rPr>
      <w:color w:val="0000FF" w:themeColor="hyperlink"/>
      <w:u w:val="single"/>
    </w:rPr>
  </w:style>
  <w:style w:type="character" w:styleId="FollowedHyperlink">
    <w:name w:val="FollowedHyperlink"/>
    <w:basedOn w:val="DefaultParagraphFont"/>
    <w:uiPriority w:val="99"/>
    <w:semiHidden/>
    <w:unhideWhenUsed/>
    <w:rsid w:val="00D85FC4"/>
    <w:rPr>
      <w:color w:val="800080" w:themeColor="followedHyperlink"/>
      <w:u w:val="single"/>
    </w:rPr>
  </w:style>
  <w:style w:type="paragraph" w:customStyle="1" w:styleId="Default">
    <w:name w:val="Default"/>
    <w:rsid w:val="00B973B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017FD"/>
    <w:pPr>
      <w:ind w:left="720"/>
      <w:contextualSpacing/>
    </w:pPr>
  </w:style>
  <w:style w:type="character" w:styleId="Strong">
    <w:name w:val="Strong"/>
    <w:basedOn w:val="DefaultParagraphFont"/>
    <w:uiPriority w:val="22"/>
    <w:qFormat/>
    <w:rsid w:val="005D76DE"/>
    <w:rPr>
      <w:b/>
      <w:bCs/>
    </w:rPr>
  </w:style>
  <w:style w:type="paragraph" w:styleId="FootnoteText">
    <w:name w:val="footnote text"/>
    <w:basedOn w:val="Normal"/>
    <w:link w:val="FootnoteTextChar"/>
    <w:uiPriority w:val="99"/>
    <w:semiHidden/>
    <w:unhideWhenUsed/>
    <w:rsid w:val="00637B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7B64"/>
    <w:rPr>
      <w:sz w:val="20"/>
      <w:szCs w:val="20"/>
    </w:rPr>
  </w:style>
  <w:style w:type="character" w:styleId="FootnoteReference">
    <w:name w:val="footnote reference"/>
    <w:basedOn w:val="DefaultParagraphFont"/>
    <w:uiPriority w:val="99"/>
    <w:semiHidden/>
    <w:unhideWhenUsed/>
    <w:rsid w:val="00637B64"/>
    <w:rPr>
      <w:vertAlign w:val="superscript"/>
    </w:rPr>
  </w:style>
  <w:style w:type="paragraph" w:styleId="BalloonText">
    <w:name w:val="Balloon Text"/>
    <w:basedOn w:val="Normal"/>
    <w:link w:val="BalloonTextChar"/>
    <w:uiPriority w:val="99"/>
    <w:semiHidden/>
    <w:unhideWhenUsed/>
    <w:rsid w:val="00E95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22A"/>
    <w:rPr>
      <w:rFonts w:ascii="Tahoma" w:hAnsi="Tahoma" w:cs="Tahoma"/>
      <w:sz w:val="16"/>
      <w:szCs w:val="16"/>
    </w:rPr>
  </w:style>
  <w:style w:type="paragraph" w:styleId="NoSpacing">
    <w:name w:val="No Spacing"/>
    <w:basedOn w:val="Normal"/>
    <w:uiPriority w:val="1"/>
    <w:qFormat/>
    <w:rsid w:val="00241D7C"/>
    <w:pPr>
      <w:spacing w:after="0"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100261"/>
    <w:pPr>
      <w:spacing w:before="100" w:beforeAutospacing="1" w:after="100" w:afterAutospacing="1" w:line="336" w:lineRule="atLeas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44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46C"/>
  </w:style>
  <w:style w:type="paragraph" w:styleId="Footer">
    <w:name w:val="footer"/>
    <w:basedOn w:val="Normal"/>
    <w:link w:val="FooterChar"/>
    <w:uiPriority w:val="99"/>
    <w:unhideWhenUsed/>
    <w:rsid w:val="00E44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46C"/>
  </w:style>
  <w:style w:type="character" w:styleId="CommentReference">
    <w:name w:val="annotation reference"/>
    <w:basedOn w:val="DefaultParagraphFont"/>
    <w:uiPriority w:val="99"/>
    <w:semiHidden/>
    <w:unhideWhenUsed/>
    <w:rsid w:val="005E6C59"/>
    <w:rPr>
      <w:sz w:val="16"/>
      <w:szCs w:val="16"/>
    </w:rPr>
  </w:style>
  <w:style w:type="paragraph" w:styleId="CommentText">
    <w:name w:val="annotation text"/>
    <w:basedOn w:val="Normal"/>
    <w:link w:val="CommentTextChar"/>
    <w:uiPriority w:val="99"/>
    <w:semiHidden/>
    <w:unhideWhenUsed/>
    <w:rsid w:val="005E6C59"/>
    <w:pPr>
      <w:spacing w:line="240" w:lineRule="auto"/>
    </w:pPr>
    <w:rPr>
      <w:sz w:val="20"/>
      <w:szCs w:val="20"/>
    </w:rPr>
  </w:style>
  <w:style w:type="character" w:customStyle="1" w:styleId="CommentTextChar">
    <w:name w:val="Comment Text Char"/>
    <w:basedOn w:val="DefaultParagraphFont"/>
    <w:link w:val="CommentText"/>
    <w:uiPriority w:val="99"/>
    <w:semiHidden/>
    <w:rsid w:val="005E6C59"/>
    <w:rPr>
      <w:sz w:val="20"/>
      <w:szCs w:val="20"/>
    </w:rPr>
  </w:style>
  <w:style w:type="paragraph" w:styleId="CommentSubject">
    <w:name w:val="annotation subject"/>
    <w:basedOn w:val="CommentText"/>
    <w:next w:val="CommentText"/>
    <w:link w:val="CommentSubjectChar"/>
    <w:uiPriority w:val="99"/>
    <w:semiHidden/>
    <w:unhideWhenUsed/>
    <w:rsid w:val="005E6C59"/>
    <w:rPr>
      <w:b/>
      <w:bCs/>
    </w:rPr>
  </w:style>
  <w:style w:type="character" w:customStyle="1" w:styleId="CommentSubjectChar">
    <w:name w:val="Comment Subject Char"/>
    <w:basedOn w:val="CommentTextChar"/>
    <w:link w:val="CommentSubject"/>
    <w:uiPriority w:val="99"/>
    <w:semiHidden/>
    <w:rsid w:val="005E6C59"/>
    <w:rPr>
      <w:b/>
      <w:bCs/>
      <w:sz w:val="20"/>
      <w:szCs w:val="20"/>
    </w:rPr>
  </w:style>
  <w:style w:type="paragraph" w:styleId="Revision">
    <w:name w:val="Revision"/>
    <w:hidden/>
    <w:uiPriority w:val="99"/>
    <w:semiHidden/>
    <w:rsid w:val="00F104A3"/>
    <w:pPr>
      <w:spacing w:after="0" w:line="240" w:lineRule="auto"/>
    </w:pPr>
  </w:style>
  <w:style w:type="character" w:customStyle="1" w:styleId="Heading1Char">
    <w:name w:val="Heading 1 Char"/>
    <w:basedOn w:val="DefaultParagraphFont"/>
    <w:link w:val="Heading1"/>
    <w:uiPriority w:val="9"/>
    <w:rsid w:val="00717F1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39690">
      <w:bodyDiv w:val="1"/>
      <w:marLeft w:val="0"/>
      <w:marRight w:val="0"/>
      <w:marTop w:val="0"/>
      <w:marBottom w:val="0"/>
      <w:divBdr>
        <w:top w:val="none" w:sz="0" w:space="0" w:color="auto"/>
        <w:left w:val="none" w:sz="0" w:space="0" w:color="auto"/>
        <w:bottom w:val="none" w:sz="0" w:space="0" w:color="auto"/>
        <w:right w:val="none" w:sz="0" w:space="0" w:color="auto"/>
      </w:divBdr>
    </w:div>
    <w:div w:id="151145140">
      <w:bodyDiv w:val="1"/>
      <w:marLeft w:val="0"/>
      <w:marRight w:val="0"/>
      <w:marTop w:val="0"/>
      <w:marBottom w:val="0"/>
      <w:divBdr>
        <w:top w:val="none" w:sz="0" w:space="0" w:color="auto"/>
        <w:left w:val="none" w:sz="0" w:space="0" w:color="auto"/>
        <w:bottom w:val="none" w:sz="0" w:space="0" w:color="auto"/>
        <w:right w:val="none" w:sz="0" w:space="0" w:color="auto"/>
      </w:divBdr>
    </w:div>
    <w:div w:id="352466157">
      <w:bodyDiv w:val="1"/>
      <w:marLeft w:val="0"/>
      <w:marRight w:val="0"/>
      <w:marTop w:val="0"/>
      <w:marBottom w:val="0"/>
      <w:divBdr>
        <w:top w:val="none" w:sz="0" w:space="0" w:color="auto"/>
        <w:left w:val="none" w:sz="0" w:space="0" w:color="auto"/>
        <w:bottom w:val="none" w:sz="0" w:space="0" w:color="auto"/>
        <w:right w:val="none" w:sz="0" w:space="0" w:color="auto"/>
      </w:divBdr>
    </w:div>
    <w:div w:id="757362048">
      <w:bodyDiv w:val="1"/>
      <w:marLeft w:val="0"/>
      <w:marRight w:val="0"/>
      <w:marTop w:val="0"/>
      <w:marBottom w:val="0"/>
      <w:divBdr>
        <w:top w:val="none" w:sz="0" w:space="0" w:color="auto"/>
        <w:left w:val="none" w:sz="0" w:space="0" w:color="auto"/>
        <w:bottom w:val="none" w:sz="0" w:space="0" w:color="auto"/>
        <w:right w:val="none" w:sz="0" w:space="0" w:color="auto"/>
      </w:divBdr>
    </w:div>
    <w:div w:id="833959698">
      <w:bodyDiv w:val="1"/>
      <w:marLeft w:val="0"/>
      <w:marRight w:val="0"/>
      <w:marTop w:val="0"/>
      <w:marBottom w:val="0"/>
      <w:divBdr>
        <w:top w:val="none" w:sz="0" w:space="0" w:color="auto"/>
        <w:left w:val="none" w:sz="0" w:space="0" w:color="auto"/>
        <w:bottom w:val="none" w:sz="0" w:space="0" w:color="auto"/>
        <w:right w:val="none" w:sz="0" w:space="0" w:color="auto"/>
      </w:divBdr>
      <w:divsChild>
        <w:div w:id="833644049">
          <w:marLeft w:val="0"/>
          <w:marRight w:val="0"/>
          <w:marTop w:val="0"/>
          <w:marBottom w:val="0"/>
          <w:divBdr>
            <w:top w:val="none" w:sz="0" w:space="0" w:color="auto"/>
            <w:left w:val="none" w:sz="0" w:space="0" w:color="auto"/>
            <w:bottom w:val="none" w:sz="0" w:space="0" w:color="auto"/>
            <w:right w:val="none" w:sz="0" w:space="0" w:color="auto"/>
          </w:divBdr>
          <w:divsChild>
            <w:div w:id="1916938297">
              <w:marLeft w:val="0"/>
              <w:marRight w:val="0"/>
              <w:marTop w:val="0"/>
              <w:marBottom w:val="0"/>
              <w:divBdr>
                <w:top w:val="none" w:sz="0" w:space="0" w:color="auto"/>
                <w:left w:val="none" w:sz="0" w:space="0" w:color="auto"/>
                <w:bottom w:val="none" w:sz="0" w:space="0" w:color="auto"/>
                <w:right w:val="none" w:sz="0" w:space="0" w:color="auto"/>
              </w:divBdr>
              <w:divsChild>
                <w:div w:id="1336033948">
                  <w:marLeft w:val="0"/>
                  <w:marRight w:val="0"/>
                  <w:marTop w:val="0"/>
                  <w:marBottom w:val="0"/>
                  <w:divBdr>
                    <w:top w:val="none" w:sz="0" w:space="0" w:color="auto"/>
                    <w:left w:val="none" w:sz="0" w:space="0" w:color="auto"/>
                    <w:bottom w:val="none" w:sz="0" w:space="0" w:color="auto"/>
                    <w:right w:val="none" w:sz="0" w:space="0" w:color="auto"/>
                  </w:divBdr>
                  <w:divsChild>
                    <w:div w:id="1752965765">
                      <w:marLeft w:val="0"/>
                      <w:marRight w:val="0"/>
                      <w:marTop w:val="0"/>
                      <w:marBottom w:val="0"/>
                      <w:divBdr>
                        <w:top w:val="none" w:sz="0" w:space="0" w:color="auto"/>
                        <w:left w:val="none" w:sz="0" w:space="0" w:color="auto"/>
                        <w:bottom w:val="none" w:sz="0" w:space="0" w:color="auto"/>
                        <w:right w:val="none" w:sz="0" w:space="0" w:color="auto"/>
                      </w:divBdr>
                      <w:divsChild>
                        <w:div w:id="859202443">
                          <w:marLeft w:val="0"/>
                          <w:marRight w:val="-4320"/>
                          <w:marTop w:val="0"/>
                          <w:marBottom w:val="0"/>
                          <w:divBdr>
                            <w:top w:val="none" w:sz="0" w:space="0" w:color="auto"/>
                            <w:left w:val="none" w:sz="0" w:space="0" w:color="auto"/>
                            <w:bottom w:val="none" w:sz="0" w:space="0" w:color="auto"/>
                            <w:right w:val="single" w:sz="48" w:space="0" w:color="F2F2F2"/>
                          </w:divBdr>
                          <w:divsChild>
                            <w:div w:id="164948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883849">
      <w:bodyDiv w:val="1"/>
      <w:marLeft w:val="0"/>
      <w:marRight w:val="0"/>
      <w:marTop w:val="0"/>
      <w:marBottom w:val="0"/>
      <w:divBdr>
        <w:top w:val="none" w:sz="0" w:space="0" w:color="auto"/>
        <w:left w:val="none" w:sz="0" w:space="0" w:color="auto"/>
        <w:bottom w:val="none" w:sz="0" w:space="0" w:color="auto"/>
        <w:right w:val="none" w:sz="0" w:space="0" w:color="auto"/>
      </w:divBdr>
      <w:divsChild>
        <w:div w:id="249706858">
          <w:marLeft w:val="0"/>
          <w:marRight w:val="0"/>
          <w:marTop w:val="0"/>
          <w:marBottom w:val="0"/>
          <w:divBdr>
            <w:top w:val="none" w:sz="0" w:space="0" w:color="auto"/>
            <w:left w:val="none" w:sz="0" w:space="0" w:color="auto"/>
            <w:bottom w:val="none" w:sz="0" w:space="0" w:color="auto"/>
            <w:right w:val="none" w:sz="0" w:space="0" w:color="auto"/>
          </w:divBdr>
          <w:divsChild>
            <w:div w:id="939097577">
              <w:marLeft w:val="0"/>
              <w:marRight w:val="0"/>
              <w:marTop w:val="0"/>
              <w:marBottom w:val="0"/>
              <w:divBdr>
                <w:top w:val="none" w:sz="0" w:space="0" w:color="auto"/>
                <w:left w:val="none" w:sz="0" w:space="0" w:color="auto"/>
                <w:bottom w:val="none" w:sz="0" w:space="0" w:color="auto"/>
                <w:right w:val="none" w:sz="0" w:space="0" w:color="auto"/>
              </w:divBdr>
              <w:divsChild>
                <w:div w:id="733940331">
                  <w:marLeft w:val="-225"/>
                  <w:marRight w:val="-225"/>
                  <w:marTop w:val="0"/>
                  <w:marBottom w:val="0"/>
                  <w:divBdr>
                    <w:top w:val="none" w:sz="0" w:space="0" w:color="auto"/>
                    <w:left w:val="none" w:sz="0" w:space="0" w:color="auto"/>
                    <w:bottom w:val="none" w:sz="0" w:space="0" w:color="auto"/>
                    <w:right w:val="none" w:sz="0" w:space="0" w:color="auto"/>
                  </w:divBdr>
                  <w:divsChild>
                    <w:div w:id="2989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259610">
      <w:bodyDiv w:val="1"/>
      <w:marLeft w:val="0"/>
      <w:marRight w:val="0"/>
      <w:marTop w:val="0"/>
      <w:marBottom w:val="0"/>
      <w:divBdr>
        <w:top w:val="none" w:sz="0" w:space="0" w:color="auto"/>
        <w:left w:val="none" w:sz="0" w:space="0" w:color="auto"/>
        <w:bottom w:val="none" w:sz="0" w:space="0" w:color="auto"/>
        <w:right w:val="none" w:sz="0" w:space="0" w:color="auto"/>
      </w:divBdr>
      <w:divsChild>
        <w:div w:id="2113238483">
          <w:marLeft w:val="0"/>
          <w:marRight w:val="0"/>
          <w:marTop w:val="0"/>
          <w:marBottom w:val="0"/>
          <w:divBdr>
            <w:top w:val="none" w:sz="0" w:space="0" w:color="auto"/>
            <w:left w:val="none" w:sz="0" w:space="0" w:color="auto"/>
            <w:bottom w:val="none" w:sz="0" w:space="0" w:color="auto"/>
            <w:right w:val="none" w:sz="0" w:space="0" w:color="auto"/>
          </w:divBdr>
          <w:divsChild>
            <w:div w:id="1156534875">
              <w:marLeft w:val="0"/>
              <w:marRight w:val="0"/>
              <w:marTop w:val="0"/>
              <w:marBottom w:val="0"/>
              <w:divBdr>
                <w:top w:val="none" w:sz="0" w:space="0" w:color="auto"/>
                <w:left w:val="none" w:sz="0" w:space="0" w:color="auto"/>
                <w:bottom w:val="none" w:sz="0" w:space="0" w:color="auto"/>
                <w:right w:val="none" w:sz="0" w:space="0" w:color="auto"/>
              </w:divBdr>
              <w:divsChild>
                <w:div w:id="171604422">
                  <w:marLeft w:val="0"/>
                  <w:marRight w:val="0"/>
                  <w:marTop w:val="0"/>
                  <w:marBottom w:val="0"/>
                  <w:divBdr>
                    <w:top w:val="none" w:sz="0" w:space="0" w:color="auto"/>
                    <w:left w:val="none" w:sz="0" w:space="0" w:color="auto"/>
                    <w:bottom w:val="none" w:sz="0" w:space="0" w:color="auto"/>
                    <w:right w:val="none" w:sz="0" w:space="0" w:color="auto"/>
                  </w:divBdr>
                  <w:divsChild>
                    <w:div w:id="199635465">
                      <w:marLeft w:val="0"/>
                      <w:marRight w:val="0"/>
                      <w:marTop w:val="0"/>
                      <w:marBottom w:val="0"/>
                      <w:divBdr>
                        <w:top w:val="none" w:sz="0" w:space="0" w:color="auto"/>
                        <w:left w:val="none" w:sz="0" w:space="0" w:color="auto"/>
                        <w:bottom w:val="none" w:sz="0" w:space="0" w:color="auto"/>
                        <w:right w:val="none" w:sz="0" w:space="0" w:color="auto"/>
                      </w:divBdr>
                      <w:divsChild>
                        <w:div w:id="99977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230434">
      <w:bodyDiv w:val="1"/>
      <w:marLeft w:val="0"/>
      <w:marRight w:val="0"/>
      <w:marTop w:val="0"/>
      <w:marBottom w:val="0"/>
      <w:divBdr>
        <w:top w:val="none" w:sz="0" w:space="0" w:color="auto"/>
        <w:left w:val="none" w:sz="0" w:space="0" w:color="auto"/>
        <w:bottom w:val="none" w:sz="0" w:space="0" w:color="auto"/>
        <w:right w:val="none" w:sz="0" w:space="0" w:color="auto"/>
      </w:divBdr>
    </w:div>
    <w:div w:id="1011028848">
      <w:bodyDiv w:val="1"/>
      <w:marLeft w:val="0"/>
      <w:marRight w:val="0"/>
      <w:marTop w:val="0"/>
      <w:marBottom w:val="0"/>
      <w:divBdr>
        <w:top w:val="none" w:sz="0" w:space="0" w:color="auto"/>
        <w:left w:val="none" w:sz="0" w:space="0" w:color="auto"/>
        <w:bottom w:val="none" w:sz="0" w:space="0" w:color="auto"/>
        <w:right w:val="none" w:sz="0" w:space="0" w:color="auto"/>
      </w:divBdr>
      <w:divsChild>
        <w:div w:id="1472139140">
          <w:marLeft w:val="0"/>
          <w:marRight w:val="0"/>
          <w:marTop w:val="0"/>
          <w:marBottom w:val="0"/>
          <w:divBdr>
            <w:top w:val="none" w:sz="0" w:space="0" w:color="auto"/>
            <w:left w:val="none" w:sz="0" w:space="0" w:color="auto"/>
            <w:bottom w:val="none" w:sz="0" w:space="0" w:color="auto"/>
            <w:right w:val="none" w:sz="0" w:space="0" w:color="auto"/>
          </w:divBdr>
          <w:divsChild>
            <w:div w:id="603194140">
              <w:marLeft w:val="0"/>
              <w:marRight w:val="0"/>
              <w:marTop w:val="0"/>
              <w:marBottom w:val="0"/>
              <w:divBdr>
                <w:top w:val="none" w:sz="0" w:space="0" w:color="auto"/>
                <w:left w:val="single" w:sz="6" w:space="0" w:color="00457C"/>
                <w:bottom w:val="none" w:sz="0" w:space="0" w:color="auto"/>
                <w:right w:val="single" w:sz="6" w:space="0" w:color="00457C"/>
              </w:divBdr>
              <w:divsChild>
                <w:div w:id="263734578">
                  <w:marLeft w:val="0"/>
                  <w:marRight w:val="0"/>
                  <w:marTop w:val="0"/>
                  <w:marBottom w:val="0"/>
                  <w:divBdr>
                    <w:top w:val="none" w:sz="0" w:space="0" w:color="auto"/>
                    <w:left w:val="none" w:sz="0" w:space="0" w:color="auto"/>
                    <w:bottom w:val="none" w:sz="0" w:space="0" w:color="auto"/>
                    <w:right w:val="none" w:sz="0" w:space="0" w:color="auto"/>
                  </w:divBdr>
                  <w:divsChild>
                    <w:div w:id="821241969">
                      <w:marLeft w:val="0"/>
                      <w:marRight w:val="0"/>
                      <w:marTop w:val="0"/>
                      <w:marBottom w:val="0"/>
                      <w:divBdr>
                        <w:top w:val="none" w:sz="0" w:space="0" w:color="auto"/>
                        <w:left w:val="none" w:sz="0" w:space="0" w:color="auto"/>
                        <w:bottom w:val="none" w:sz="0" w:space="0" w:color="auto"/>
                        <w:right w:val="none" w:sz="0" w:space="0" w:color="auto"/>
                      </w:divBdr>
                      <w:divsChild>
                        <w:div w:id="344286596">
                          <w:marLeft w:val="0"/>
                          <w:marRight w:val="150"/>
                          <w:marTop w:val="0"/>
                          <w:marBottom w:val="0"/>
                          <w:divBdr>
                            <w:top w:val="none" w:sz="0" w:space="0" w:color="auto"/>
                            <w:left w:val="none" w:sz="0" w:space="0" w:color="auto"/>
                            <w:bottom w:val="none" w:sz="0" w:space="0" w:color="auto"/>
                            <w:right w:val="none" w:sz="0" w:space="0" w:color="auto"/>
                          </w:divBdr>
                          <w:divsChild>
                            <w:div w:id="113371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603100">
      <w:bodyDiv w:val="1"/>
      <w:marLeft w:val="0"/>
      <w:marRight w:val="0"/>
      <w:marTop w:val="0"/>
      <w:marBottom w:val="0"/>
      <w:divBdr>
        <w:top w:val="none" w:sz="0" w:space="0" w:color="auto"/>
        <w:left w:val="none" w:sz="0" w:space="0" w:color="auto"/>
        <w:bottom w:val="none" w:sz="0" w:space="0" w:color="auto"/>
        <w:right w:val="none" w:sz="0" w:space="0" w:color="auto"/>
      </w:divBdr>
      <w:divsChild>
        <w:div w:id="1888953328">
          <w:marLeft w:val="0"/>
          <w:marRight w:val="0"/>
          <w:marTop w:val="0"/>
          <w:marBottom w:val="0"/>
          <w:divBdr>
            <w:top w:val="none" w:sz="0" w:space="0" w:color="auto"/>
            <w:left w:val="none" w:sz="0" w:space="0" w:color="auto"/>
            <w:bottom w:val="none" w:sz="0" w:space="0" w:color="auto"/>
            <w:right w:val="none" w:sz="0" w:space="0" w:color="auto"/>
          </w:divBdr>
          <w:divsChild>
            <w:div w:id="404693090">
              <w:marLeft w:val="0"/>
              <w:marRight w:val="0"/>
              <w:marTop w:val="0"/>
              <w:marBottom w:val="0"/>
              <w:divBdr>
                <w:top w:val="none" w:sz="0" w:space="0" w:color="auto"/>
                <w:left w:val="none" w:sz="0" w:space="0" w:color="auto"/>
                <w:bottom w:val="none" w:sz="0" w:space="0" w:color="auto"/>
                <w:right w:val="none" w:sz="0" w:space="0" w:color="auto"/>
              </w:divBdr>
              <w:divsChild>
                <w:div w:id="203832655">
                  <w:marLeft w:val="0"/>
                  <w:marRight w:val="0"/>
                  <w:marTop w:val="0"/>
                  <w:marBottom w:val="0"/>
                  <w:divBdr>
                    <w:top w:val="none" w:sz="0" w:space="0" w:color="auto"/>
                    <w:left w:val="none" w:sz="0" w:space="0" w:color="auto"/>
                    <w:bottom w:val="none" w:sz="0" w:space="0" w:color="auto"/>
                    <w:right w:val="none" w:sz="0" w:space="0" w:color="auto"/>
                  </w:divBdr>
                  <w:divsChild>
                    <w:div w:id="1498424533">
                      <w:marLeft w:val="0"/>
                      <w:marRight w:val="0"/>
                      <w:marTop w:val="0"/>
                      <w:marBottom w:val="0"/>
                      <w:divBdr>
                        <w:top w:val="none" w:sz="0" w:space="0" w:color="auto"/>
                        <w:left w:val="none" w:sz="0" w:space="0" w:color="auto"/>
                        <w:bottom w:val="none" w:sz="0" w:space="0" w:color="auto"/>
                        <w:right w:val="none" w:sz="0" w:space="0" w:color="auto"/>
                      </w:divBdr>
                      <w:divsChild>
                        <w:div w:id="148718532">
                          <w:marLeft w:val="0"/>
                          <w:marRight w:val="0"/>
                          <w:marTop w:val="0"/>
                          <w:marBottom w:val="0"/>
                          <w:divBdr>
                            <w:top w:val="none" w:sz="0" w:space="0" w:color="auto"/>
                            <w:left w:val="none" w:sz="0" w:space="0" w:color="auto"/>
                            <w:bottom w:val="none" w:sz="0" w:space="0" w:color="auto"/>
                            <w:right w:val="none" w:sz="0" w:space="0" w:color="auto"/>
                          </w:divBdr>
                          <w:divsChild>
                            <w:div w:id="1572740692">
                              <w:marLeft w:val="0"/>
                              <w:marRight w:val="0"/>
                              <w:marTop w:val="0"/>
                              <w:marBottom w:val="0"/>
                              <w:divBdr>
                                <w:top w:val="none" w:sz="0" w:space="0" w:color="auto"/>
                                <w:left w:val="none" w:sz="0" w:space="0" w:color="auto"/>
                                <w:bottom w:val="none" w:sz="0" w:space="0" w:color="auto"/>
                                <w:right w:val="none" w:sz="0" w:space="0" w:color="auto"/>
                              </w:divBdr>
                              <w:divsChild>
                                <w:div w:id="161593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2654701">
      <w:bodyDiv w:val="1"/>
      <w:marLeft w:val="0"/>
      <w:marRight w:val="0"/>
      <w:marTop w:val="0"/>
      <w:marBottom w:val="0"/>
      <w:divBdr>
        <w:top w:val="none" w:sz="0" w:space="0" w:color="auto"/>
        <w:left w:val="none" w:sz="0" w:space="0" w:color="auto"/>
        <w:bottom w:val="none" w:sz="0" w:space="0" w:color="auto"/>
        <w:right w:val="none" w:sz="0" w:space="0" w:color="auto"/>
      </w:divBdr>
    </w:div>
    <w:div w:id="165209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33"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32"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830A0-56EC-4D9F-91D2-164516867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5928</Words>
  <Characters>33793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39642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ACL8</cp:lastModifiedBy>
  <cp:revision>2</cp:revision>
  <cp:lastPrinted>2016-08-16T19:56:00Z</cp:lastPrinted>
  <dcterms:created xsi:type="dcterms:W3CDTF">2017-08-04T18:18:00Z</dcterms:created>
  <dcterms:modified xsi:type="dcterms:W3CDTF">2017-08-04T18:18:00Z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