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7CA26" w14:textId="77777777" w:rsidR="00AA7844" w:rsidRDefault="00AA7844" w:rsidP="00CC0D4F">
      <w:pPr>
        <w:spacing w:line="240" w:lineRule="auto"/>
        <w:jc w:val="center"/>
        <w:rPr>
          <w:b/>
          <w:sz w:val="36"/>
          <w:szCs w:val="36"/>
        </w:rPr>
      </w:pPr>
    </w:p>
    <w:p w14:paraId="57F2E34D" w14:textId="77777777" w:rsidR="00AA7844" w:rsidRDefault="00AA7844" w:rsidP="00CC0D4F">
      <w:pPr>
        <w:spacing w:line="240" w:lineRule="auto"/>
        <w:jc w:val="center"/>
        <w:rPr>
          <w:b/>
          <w:sz w:val="36"/>
          <w:szCs w:val="36"/>
        </w:rPr>
      </w:pPr>
    </w:p>
    <w:p w14:paraId="70E04CCF" w14:textId="77777777" w:rsidR="006D4CC9" w:rsidRDefault="00D72E31" w:rsidP="006D4CC9">
      <w:pPr>
        <w:spacing w:after="0" w:line="240" w:lineRule="auto"/>
        <w:jc w:val="center"/>
        <w:rPr>
          <w:b/>
          <w:sz w:val="28"/>
          <w:szCs w:val="28"/>
        </w:rPr>
      </w:pPr>
      <w:r w:rsidRPr="00427BD7">
        <w:rPr>
          <w:b/>
          <w:sz w:val="28"/>
          <w:szCs w:val="28"/>
        </w:rPr>
        <w:t>Promo</w:t>
      </w:r>
      <w:r w:rsidR="00797992" w:rsidRPr="00427BD7">
        <w:rPr>
          <w:b/>
          <w:sz w:val="28"/>
          <w:szCs w:val="28"/>
        </w:rPr>
        <w:t xml:space="preserve">ting Community Living for Older Adults </w:t>
      </w:r>
      <w:r w:rsidR="00934831" w:rsidRPr="00427BD7">
        <w:rPr>
          <w:b/>
          <w:sz w:val="28"/>
          <w:szCs w:val="28"/>
        </w:rPr>
        <w:t>W</w:t>
      </w:r>
      <w:r w:rsidR="00E9598A" w:rsidRPr="00427BD7">
        <w:rPr>
          <w:b/>
          <w:sz w:val="28"/>
          <w:szCs w:val="28"/>
        </w:rPr>
        <w:t xml:space="preserve">ho Need </w:t>
      </w:r>
    </w:p>
    <w:p w14:paraId="40BBD2A0" w14:textId="67EF90B1" w:rsidR="00035308" w:rsidRPr="00035308" w:rsidRDefault="00E9598A" w:rsidP="006D4CC9">
      <w:pPr>
        <w:spacing w:after="3000" w:line="240" w:lineRule="auto"/>
        <w:jc w:val="center"/>
        <w:rPr>
          <w:b/>
          <w:sz w:val="24"/>
          <w:szCs w:val="24"/>
        </w:rPr>
      </w:pPr>
      <w:r w:rsidRPr="00427BD7">
        <w:rPr>
          <w:b/>
          <w:sz w:val="28"/>
          <w:szCs w:val="28"/>
        </w:rPr>
        <w:t>Long-term Services and Support</w:t>
      </w:r>
    </w:p>
    <w:p w14:paraId="008C28C2" w14:textId="77777777" w:rsidR="00D72E31" w:rsidRPr="00427BD7" w:rsidRDefault="00D72E31" w:rsidP="00CC0D4F">
      <w:pPr>
        <w:spacing w:line="240" w:lineRule="auto"/>
        <w:jc w:val="center"/>
        <w:rPr>
          <w:sz w:val="24"/>
          <w:szCs w:val="24"/>
        </w:rPr>
      </w:pPr>
      <w:r w:rsidRPr="00427BD7">
        <w:rPr>
          <w:sz w:val="24"/>
          <w:szCs w:val="24"/>
        </w:rPr>
        <w:t>Jane Tilly, DrPH</w:t>
      </w:r>
    </w:p>
    <w:p w14:paraId="1C044BC8" w14:textId="77777777" w:rsidR="00D72E31" w:rsidRPr="00427BD7" w:rsidRDefault="00D72E31" w:rsidP="00D72E31">
      <w:pPr>
        <w:autoSpaceDE w:val="0"/>
        <w:autoSpaceDN w:val="0"/>
        <w:adjustRightInd w:val="0"/>
        <w:spacing w:after="0" w:line="240" w:lineRule="auto"/>
        <w:jc w:val="center"/>
        <w:rPr>
          <w:rFonts w:cs="Times New Roman"/>
          <w:color w:val="000000"/>
          <w:sz w:val="24"/>
          <w:szCs w:val="24"/>
        </w:rPr>
      </w:pPr>
      <w:r w:rsidRPr="00427BD7">
        <w:rPr>
          <w:rFonts w:cs="Times New Roman"/>
          <w:color w:val="000000"/>
          <w:sz w:val="24"/>
          <w:szCs w:val="24"/>
        </w:rPr>
        <w:t>Center for Policy and Evaluation</w:t>
      </w:r>
    </w:p>
    <w:p w14:paraId="6BDBFF10" w14:textId="77777777" w:rsidR="00D72E31" w:rsidRPr="00427BD7" w:rsidRDefault="00D72E31" w:rsidP="00D72E31">
      <w:pPr>
        <w:spacing w:line="240" w:lineRule="auto"/>
        <w:jc w:val="center"/>
        <w:rPr>
          <w:rFonts w:cs="Times New Roman"/>
          <w:color w:val="000000"/>
          <w:sz w:val="24"/>
          <w:szCs w:val="24"/>
        </w:rPr>
      </w:pPr>
      <w:r w:rsidRPr="00427BD7">
        <w:rPr>
          <w:rFonts w:cs="Times New Roman"/>
          <w:color w:val="000000"/>
          <w:sz w:val="24"/>
          <w:szCs w:val="24"/>
        </w:rPr>
        <w:t>Administration for Community Living</w:t>
      </w:r>
    </w:p>
    <w:p w14:paraId="025B50B4" w14:textId="77777777" w:rsidR="00202A02" w:rsidRDefault="003A4176" w:rsidP="00202A02">
      <w:pPr>
        <w:spacing w:after="5040" w:line="240" w:lineRule="auto"/>
        <w:jc w:val="center"/>
        <w:rPr>
          <w:rFonts w:cs="Times New Roman"/>
          <w:color w:val="000000"/>
          <w:sz w:val="24"/>
          <w:szCs w:val="24"/>
        </w:rPr>
      </w:pPr>
      <w:r w:rsidRPr="00427BD7">
        <w:rPr>
          <w:rFonts w:cs="Times New Roman"/>
          <w:color w:val="000000"/>
          <w:sz w:val="24"/>
          <w:szCs w:val="24"/>
        </w:rPr>
        <w:t>August</w:t>
      </w:r>
      <w:r w:rsidR="00202A02">
        <w:rPr>
          <w:rFonts w:cs="Times New Roman"/>
          <w:color w:val="000000"/>
          <w:sz w:val="24"/>
          <w:szCs w:val="24"/>
        </w:rPr>
        <w:t xml:space="preserve"> 2016</w:t>
      </w:r>
    </w:p>
    <w:p w14:paraId="20C32E57" w14:textId="0433B3BB" w:rsidR="00035308" w:rsidRPr="00427BD7" w:rsidRDefault="00035308" w:rsidP="002242C1">
      <w:pPr>
        <w:spacing w:after="8040" w:line="240" w:lineRule="auto"/>
        <w:rPr>
          <w:b/>
          <w:sz w:val="24"/>
          <w:szCs w:val="24"/>
        </w:rPr>
      </w:pPr>
      <w:r w:rsidRPr="002242C1">
        <w:rPr>
          <w:rFonts w:cs="Times New Roman"/>
          <w:i/>
          <w:iCs/>
          <w:color w:val="000000"/>
        </w:rPr>
        <w:t>The views expressed in thi</w:t>
      </w:r>
      <w:r w:rsidR="00B41380" w:rsidRPr="002242C1">
        <w:rPr>
          <w:rFonts w:cs="Times New Roman"/>
          <w:i/>
          <w:iCs/>
          <w:color w:val="000000"/>
        </w:rPr>
        <w:t>s paper are those of the author</w:t>
      </w:r>
      <w:r w:rsidRPr="002242C1">
        <w:rPr>
          <w:rFonts w:cs="Times New Roman"/>
          <w:i/>
          <w:iCs/>
          <w:color w:val="000000"/>
        </w:rPr>
        <w:t xml:space="preserve"> and not necessarily those of the Administration for Community Living or the U.S. Department of Health and Human Services</w:t>
      </w:r>
      <w:r w:rsidR="001D0A9E" w:rsidRPr="00427BD7">
        <w:rPr>
          <w:rFonts w:cs="Times New Roman"/>
          <w:i/>
          <w:iCs/>
          <w:color w:val="000000"/>
          <w:sz w:val="24"/>
          <w:szCs w:val="24"/>
        </w:rPr>
        <w:t>.</w:t>
      </w:r>
    </w:p>
    <w:p w14:paraId="34D55ECD" w14:textId="77777777" w:rsidR="007852FB" w:rsidRDefault="00035308" w:rsidP="0059525B">
      <w:pPr>
        <w:spacing w:after="0"/>
        <w:jc w:val="center"/>
        <w:rPr>
          <w:b/>
          <w:sz w:val="28"/>
          <w:szCs w:val="28"/>
        </w:rPr>
      </w:pPr>
      <w:r>
        <w:rPr>
          <w:b/>
          <w:sz w:val="24"/>
          <w:szCs w:val="24"/>
        </w:rPr>
        <w:br w:type="page"/>
      </w:r>
      <w:r w:rsidR="00127E91" w:rsidRPr="007852FB">
        <w:rPr>
          <w:b/>
          <w:sz w:val="28"/>
          <w:szCs w:val="28"/>
        </w:rPr>
        <w:lastRenderedPageBreak/>
        <w:t>Promoting Commun</w:t>
      </w:r>
      <w:r w:rsidR="009E5D34" w:rsidRPr="007852FB">
        <w:rPr>
          <w:b/>
          <w:sz w:val="28"/>
          <w:szCs w:val="28"/>
        </w:rPr>
        <w:t xml:space="preserve">ity Living for Older Adults </w:t>
      </w:r>
      <w:r w:rsidR="00934831" w:rsidRPr="007852FB">
        <w:rPr>
          <w:b/>
          <w:sz w:val="28"/>
          <w:szCs w:val="28"/>
        </w:rPr>
        <w:t>Who N</w:t>
      </w:r>
      <w:r w:rsidR="00E9598A" w:rsidRPr="007852FB">
        <w:rPr>
          <w:b/>
          <w:sz w:val="28"/>
          <w:szCs w:val="28"/>
        </w:rPr>
        <w:t>eed</w:t>
      </w:r>
    </w:p>
    <w:p w14:paraId="6E6F8777" w14:textId="78A2B47D" w:rsidR="00127E91" w:rsidRPr="007852FB" w:rsidRDefault="00E9598A" w:rsidP="009006F0">
      <w:pPr>
        <w:jc w:val="center"/>
        <w:rPr>
          <w:b/>
          <w:sz w:val="28"/>
          <w:szCs w:val="28"/>
        </w:rPr>
      </w:pPr>
      <w:r w:rsidRPr="007852FB">
        <w:rPr>
          <w:b/>
          <w:sz w:val="28"/>
          <w:szCs w:val="28"/>
        </w:rPr>
        <w:t xml:space="preserve"> Long-term Services and Supports</w:t>
      </w:r>
    </w:p>
    <w:p w14:paraId="47ACCB27" w14:textId="77777777" w:rsidR="00D72E31" w:rsidRPr="0059525B" w:rsidRDefault="00127E91" w:rsidP="00202A02">
      <w:pPr>
        <w:pStyle w:val="Heading1"/>
        <w:spacing w:after="200"/>
        <w:jc w:val="center"/>
        <w:rPr>
          <w:rFonts w:ascii="Calibri" w:hAnsi="Calibri"/>
          <w:color w:val="auto"/>
          <w:sz w:val="24"/>
          <w:szCs w:val="24"/>
        </w:rPr>
      </w:pPr>
      <w:r w:rsidRPr="0059525B">
        <w:rPr>
          <w:rFonts w:ascii="Calibri" w:hAnsi="Calibri"/>
          <w:color w:val="auto"/>
          <w:sz w:val="24"/>
          <w:szCs w:val="24"/>
        </w:rPr>
        <w:t>Executive Summary</w:t>
      </w:r>
    </w:p>
    <w:p w14:paraId="3916EAD5" w14:textId="3E23EE41" w:rsidR="00C2706F" w:rsidRPr="00427BD7" w:rsidRDefault="00D72C5C" w:rsidP="00C2706F">
      <w:pPr>
        <w:spacing w:line="240" w:lineRule="auto"/>
      </w:pPr>
      <w:r w:rsidRPr="00427BD7">
        <w:t>Most older adults</w:t>
      </w:r>
      <w:r w:rsidR="00797992" w:rsidRPr="00427BD7">
        <w:rPr>
          <w:rStyle w:val="FootnoteReference"/>
        </w:rPr>
        <w:footnoteReference w:id="1"/>
      </w:r>
      <w:r w:rsidRPr="00427BD7">
        <w:t xml:space="preserve"> </w:t>
      </w:r>
      <w:r w:rsidR="00E9598A" w:rsidRPr="00427BD7">
        <w:t>who need long-term services and supports (LTSS)</w:t>
      </w:r>
      <w:r w:rsidR="00E9598A" w:rsidRPr="00427BD7">
        <w:rPr>
          <w:rStyle w:val="FootnoteReference"/>
        </w:rPr>
        <w:t xml:space="preserve"> </w:t>
      </w:r>
      <w:r w:rsidR="00E9598A" w:rsidRPr="00427BD7">
        <w:rPr>
          <w:rStyle w:val="FootnoteReference"/>
        </w:rPr>
        <w:footnoteReference w:id="2"/>
      </w:r>
      <w:r w:rsidR="009006F0" w:rsidRPr="00427BD7">
        <w:t xml:space="preserve"> </w:t>
      </w:r>
      <w:r w:rsidRPr="00427BD7">
        <w:t>live in the community</w:t>
      </w:r>
      <w:r w:rsidR="00124EF0" w:rsidRPr="00427BD7">
        <w:t>,</w:t>
      </w:r>
      <w:r w:rsidRPr="00427BD7">
        <w:t xml:space="preserve"> </w:t>
      </w:r>
      <w:r w:rsidR="00124EF0" w:rsidRPr="00427BD7">
        <w:t xml:space="preserve">often </w:t>
      </w:r>
      <w:r w:rsidRPr="00427BD7">
        <w:t>with the help of family</w:t>
      </w:r>
      <w:r w:rsidR="009E5D34" w:rsidRPr="00427BD7">
        <w:t xml:space="preserve"> and</w:t>
      </w:r>
      <w:r w:rsidRPr="00427BD7">
        <w:t xml:space="preserve"> friends, and som</w:t>
      </w:r>
      <w:r w:rsidR="003A008B" w:rsidRPr="00427BD7">
        <w:t>e</w:t>
      </w:r>
      <w:r w:rsidR="004C19BE" w:rsidRPr="00427BD7">
        <w:t xml:space="preserve"> receive</w:t>
      </w:r>
      <w:r w:rsidR="003A008B" w:rsidRPr="00427BD7">
        <w:t xml:space="preserve"> paid services</w:t>
      </w:r>
      <w:r w:rsidRPr="00427BD7">
        <w:t xml:space="preserve">. </w:t>
      </w:r>
      <w:r w:rsidR="00FC4E63" w:rsidRPr="00427BD7">
        <w:t xml:space="preserve"> Many</w:t>
      </w:r>
      <w:r w:rsidR="007A76A6" w:rsidRPr="00427BD7">
        <w:t xml:space="preserve"> older</w:t>
      </w:r>
      <w:r w:rsidR="00FC4E63" w:rsidRPr="00427BD7">
        <w:t xml:space="preserve"> adults receive help through</w:t>
      </w:r>
      <w:r w:rsidR="007A76A6" w:rsidRPr="00427BD7">
        <w:t xml:space="preserve"> Older Americans Act-funded meals and in-home services.</w:t>
      </w:r>
      <w:r w:rsidR="003A008B" w:rsidRPr="00427BD7">
        <w:t xml:space="preserve"> Those old</w:t>
      </w:r>
      <w:r w:rsidR="009E5D34" w:rsidRPr="00427BD7">
        <w:t xml:space="preserve">er adults with </w:t>
      </w:r>
      <w:r w:rsidR="003A008B" w:rsidRPr="00427BD7">
        <w:t>few financial resources</w:t>
      </w:r>
      <w:r w:rsidR="002C63CE" w:rsidRPr="00427BD7">
        <w:t xml:space="preserve"> often</w:t>
      </w:r>
      <w:r w:rsidR="003A008B" w:rsidRPr="00427BD7">
        <w:t xml:space="preserve"> rely on Medicaid </w:t>
      </w:r>
      <w:r w:rsidR="00F247CD" w:rsidRPr="00427BD7">
        <w:t>to pay for their</w:t>
      </w:r>
      <w:r w:rsidR="00E9598A" w:rsidRPr="00427BD7">
        <w:t xml:space="preserve"> </w:t>
      </w:r>
      <w:r w:rsidR="00C2706F" w:rsidRPr="00427BD7">
        <w:t>LTSS</w:t>
      </w:r>
      <w:r w:rsidR="009006F0" w:rsidRPr="00427BD7">
        <w:t xml:space="preserve"> because this program is the primary public payer for these services. </w:t>
      </w:r>
      <w:r w:rsidR="00F247CD" w:rsidRPr="00427BD7">
        <w:t xml:space="preserve"> </w:t>
      </w:r>
      <w:r w:rsidR="007852FB" w:rsidRPr="00427BD7">
        <w:t>About</w:t>
      </w:r>
      <w:r w:rsidR="002C63CE" w:rsidRPr="00427BD7">
        <w:t xml:space="preserve"> half </w:t>
      </w:r>
      <w:r w:rsidR="00C020CA" w:rsidRPr="00427BD7">
        <w:t xml:space="preserve">of older Medicaid beneficiaries </w:t>
      </w:r>
      <w:r w:rsidR="00EE3769" w:rsidRPr="00427BD7">
        <w:t>receiving</w:t>
      </w:r>
      <w:r w:rsidR="00C020CA" w:rsidRPr="00427BD7">
        <w:t xml:space="preserve"> </w:t>
      </w:r>
      <w:r w:rsidR="002C63CE" w:rsidRPr="00427BD7">
        <w:t>LTSS</w:t>
      </w:r>
      <w:r w:rsidR="00EE3769" w:rsidRPr="00427BD7">
        <w:t xml:space="preserve"> do so </w:t>
      </w:r>
      <w:r w:rsidR="00C020CA" w:rsidRPr="00427BD7">
        <w:t xml:space="preserve">in their </w:t>
      </w:r>
      <w:r w:rsidR="002C63CE" w:rsidRPr="00427BD7">
        <w:t xml:space="preserve">homes and </w:t>
      </w:r>
      <w:r w:rsidR="00C020CA" w:rsidRPr="00427BD7">
        <w:t>communities, where older adults prefer to live.</w:t>
      </w:r>
      <w:r w:rsidR="00C2706F" w:rsidRPr="00427BD7">
        <w:t xml:space="preserve"> </w:t>
      </w:r>
      <w:r w:rsidR="009E5D34" w:rsidRPr="00427BD7">
        <w:t xml:space="preserve"> </w:t>
      </w:r>
      <w:r w:rsidR="00C2706F" w:rsidRPr="00427BD7">
        <w:t xml:space="preserve">In contrast, 80% </w:t>
      </w:r>
      <w:r w:rsidR="00797992" w:rsidRPr="00427BD7">
        <w:t>of</w:t>
      </w:r>
      <w:r w:rsidR="00D55EAB" w:rsidRPr="00427BD7">
        <w:t xml:space="preserve"> beneficiaries</w:t>
      </w:r>
      <w:r w:rsidR="00934831" w:rsidRPr="00427BD7">
        <w:t xml:space="preserve"> receiving LTSS</w:t>
      </w:r>
      <w:r w:rsidR="00797992" w:rsidRPr="00427BD7">
        <w:t xml:space="preserve"> under age 65</w:t>
      </w:r>
      <w:r w:rsidR="00D55EAB" w:rsidRPr="00427BD7">
        <w:t xml:space="preserve"> do</w:t>
      </w:r>
      <w:r w:rsidR="00C2706F" w:rsidRPr="00427BD7">
        <w:t xml:space="preserve"> so. </w:t>
      </w:r>
      <w:r w:rsidR="00D55EAB" w:rsidRPr="00427BD7">
        <w:t>The</w:t>
      </w:r>
      <w:r w:rsidR="00C2706F" w:rsidRPr="00427BD7">
        <w:t xml:space="preserve"> dis</w:t>
      </w:r>
      <w:r w:rsidR="00797992" w:rsidRPr="00427BD7">
        <w:t>parity</w:t>
      </w:r>
      <w:r w:rsidR="00C2706F" w:rsidRPr="00427BD7">
        <w:t xml:space="preserve"> that older Medicaid beneficiaries experience persists, de</w:t>
      </w:r>
      <w:r w:rsidR="00D55EAB" w:rsidRPr="00427BD7">
        <w:t>spite the fact that the</w:t>
      </w:r>
      <w:r w:rsidR="009E5D34" w:rsidRPr="00427BD7">
        <w:t xml:space="preserve">ir </w:t>
      </w:r>
      <w:r w:rsidR="00C2706F" w:rsidRPr="00427BD7">
        <w:t>home and community-based services (HCBS)</w:t>
      </w:r>
      <w:r w:rsidR="009E5D34" w:rsidRPr="00427BD7">
        <w:t xml:space="preserve"> </w:t>
      </w:r>
      <w:r w:rsidR="008D6E90" w:rsidRPr="00427BD7">
        <w:t>costs are relatively low compared to other categories of beneficiaries.</w:t>
      </w:r>
      <w:r w:rsidR="00C2706F" w:rsidRPr="00427BD7">
        <w:t xml:space="preserve"> </w:t>
      </w:r>
      <w:r w:rsidR="00797992" w:rsidRPr="00427BD7">
        <w:t xml:space="preserve"> </w:t>
      </w:r>
    </w:p>
    <w:p w14:paraId="05F91DF4" w14:textId="4AD18759" w:rsidR="00127E91" w:rsidRPr="00427BD7" w:rsidRDefault="00D55EAB" w:rsidP="00127E91">
      <w:pPr>
        <w:spacing w:line="240" w:lineRule="auto"/>
        <w:rPr>
          <w:b/>
        </w:rPr>
      </w:pPr>
      <w:r w:rsidRPr="00427BD7">
        <w:t>The</w:t>
      </w:r>
      <w:r w:rsidR="00127E91" w:rsidRPr="00427BD7">
        <w:t xml:space="preserve"> high rate of institutionalization</w:t>
      </w:r>
      <w:r w:rsidR="009006F0" w:rsidRPr="00427BD7">
        <w:t xml:space="preserve"> of older Medicaid beneficiaries</w:t>
      </w:r>
      <w:r w:rsidR="008D6E90" w:rsidRPr="00427BD7">
        <w:t xml:space="preserve"> receiving LTSS</w:t>
      </w:r>
      <w:r w:rsidR="00797992" w:rsidRPr="00427BD7">
        <w:t xml:space="preserve"> </w:t>
      </w:r>
      <w:r w:rsidRPr="00427BD7">
        <w:t>continues</w:t>
      </w:r>
      <w:r w:rsidR="0017491B" w:rsidRPr="00427BD7">
        <w:t xml:space="preserve"> </w:t>
      </w:r>
      <w:r w:rsidR="00127E91" w:rsidRPr="00427BD7">
        <w:t xml:space="preserve">more than 15 years after </w:t>
      </w:r>
      <w:r w:rsidR="0017491B" w:rsidRPr="00427BD7">
        <w:t xml:space="preserve">the United States </w:t>
      </w:r>
      <w:r w:rsidR="00127E91" w:rsidRPr="00427BD7">
        <w:t xml:space="preserve">Supreme Court’s </w:t>
      </w:r>
      <w:r w:rsidR="0017491B" w:rsidRPr="00427BD7">
        <w:t xml:space="preserve">decision in </w:t>
      </w:r>
      <w:r w:rsidR="00127E91" w:rsidRPr="00427BD7">
        <w:rPr>
          <w:i/>
        </w:rPr>
        <w:t>Olmstead</w:t>
      </w:r>
      <w:r w:rsidR="0017491B" w:rsidRPr="00427BD7">
        <w:rPr>
          <w:i/>
        </w:rPr>
        <w:t xml:space="preserve"> v. LC</w:t>
      </w:r>
      <w:r w:rsidR="00C2706F" w:rsidRPr="00427BD7">
        <w:t xml:space="preserve">.  This decision </w:t>
      </w:r>
      <w:r w:rsidR="0017491B" w:rsidRPr="00427BD7">
        <w:t>held</w:t>
      </w:r>
      <w:r w:rsidR="00127E91" w:rsidRPr="00427BD7">
        <w:t xml:space="preserve"> that </w:t>
      </w:r>
      <w:r w:rsidR="00127E91" w:rsidRPr="00427BD7">
        <w:rPr>
          <w:lang w:val="en"/>
        </w:rPr>
        <w:t xml:space="preserve">unjustified </w:t>
      </w:r>
      <w:r w:rsidR="0017491B" w:rsidRPr="00427BD7">
        <w:rPr>
          <w:lang w:val="en"/>
        </w:rPr>
        <w:t xml:space="preserve">isolation </w:t>
      </w:r>
      <w:r w:rsidR="00127E91" w:rsidRPr="00427BD7">
        <w:rPr>
          <w:lang w:val="en"/>
        </w:rPr>
        <w:t xml:space="preserve">of people with disabilities violates the anti-discrimination </w:t>
      </w:r>
      <w:r w:rsidR="0017491B" w:rsidRPr="00427BD7">
        <w:rPr>
          <w:lang w:val="en"/>
        </w:rPr>
        <w:t>T</w:t>
      </w:r>
      <w:r w:rsidR="00127E91" w:rsidRPr="00427BD7">
        <w:rPr>
          <w:lang w:val="en"/>
        </w:rPr>
        <w:t>itle II of the Americans with Disabilities Act.</w:t>
      </w:r>
      <w:r w:rsidR="00E9598A" w:rsidRPr="00427BD7">
        <w:rPr>
          <w:lang w:val="en"/>
        </w:rPr>
        <w:t xml:space="preserve">  </w:t>
      </w:r>
      <w:r w:rsidR="00E9598A" w:rsidRPr="00427BD7">
        <w:rPr>
          <w:i/>
          <w:lang w:val="en"/>
        </w:rPr>
        <w:t>Olmstead</w:t>
      </w:r>
      <w:r w:rsidR="00E9598A" w:rsidRPr="00427BD7">
        <w:rPr>
          <w:lang w:val="en"/>
        </w:rPr>
        <w:t xml:space="preserve"> applies to people of all ages who need LTSS, including those who acquire their disabilities after they reach age 65. </w:t>
      </w:r>
      <w:r w:rsidR="00934831" w:rsidRPr="00427BD7">
        <w:t>Many older adults will need assistance with</w:t>
      </w:r>
      <w:r w:rsidR="00162511" w:rsidRPr="00427BD7">
        <w:t xml:space="preserve"> activities of daily living (</w:t>
      </w:r>
      <w:r w:rsidR="00934831" w:rsidRPr="00427BD7">
        <w:t>ADLs</w:t>
      </w:r>
      <w:r w:rsidR="00162511" w:rsidRPr="00427BD7">
        <w:t>)</w:t>
      </w:r>
      <w:r w:rsidR="007852FB" w:rsidRPr="00427BD7">
        <w:rPr>
          <w:rStyle w:val="FootnoteReference"/>
        </w:rPr>
        <w:t xml:space="preserve"> </w:t>
      </w:r>
      <w:r w:rsidR="007852FB" w:rsidRPr="00427BD7">
        <w:rPr>
          <w:rStyle w:val="FootnoteReference"/>
        </w:rPr>
        <w:footnoteReference w:id="3"/>
      </w:r>
      <w:r w:rsidR="00934831" w:rsidRPr="00427BD7">
        <w:t xml:space="preserve"> at some point in their lives. Al</w:t>
      </w:r>
      <w:r w:rsidR="00FC4E63" w:rsidRPr="00427BD7">
        <w:t>though some</w:t>
      </w:r>
      <w:r w:rsidR="00934831" w:rsidRPr="00427BD7">
        <w:t xml:space="preserve"> older adults who need LTSS </w:t>
      </w:r>
      <w:r w:rsidR="00CB5AE0" w:rsidRPr="00427BD7">
        <w:t xml:space="preserve">for assistance with </w:t>
      </w:r>
      <w:r w:rsidR="00162511" w:rsidRPr="00427BD7">
        <w:t xml:space="preserve">these </w:t>
      </w:r>
      <w:r w:rsidR="00CB5AE0" w:rsidRPr="00427BD7">
        <w:t xml:space="preserve">activities </w:t>
      </w:r>
      <w:r w:rsidR="00934831" w:rsidRPr="00427BD7">
        <w:t>do not think of themselves as people with disabilities, they do meet the legal definition, and the Olmstead decision applies to them</w:t>
      </w:r>
      <w:r w:rsidR="00CB5AE0" w:rsidRPr="00427BD7">
        <w:t>.</w:t>
      </w:r>
    </w:p>
    <w:p w14:paraId="1279D183" w14:textId="6A65E854" w:rsidR="004C19BE" w:rsidRPr="00427BD7" w:rsidRDefault="00C2706F" w:rsidP="002C4A58">
      <w:pPr>
        <w:spacing w:line="240" w:lineRule="auto"/>
      </w:pPr>
      <w:r w:rsidRPr="00427BD7">
        <w:t>Many s</w:t>
      </w:r>
      <w:r w:rsidR="002C63CE" w:rsidRPr="00427BD7">
        <w:t>tates</w:t>
      </w:r>
      <w:r w:rsidRPr="00427BD7">
        <w:t xml:space="preserve"> could do more to comply with </w:t>
      </w:r>
      <w:r w:rsidRPr="00427BD7">
        <w:rPr>
          <w:i/>
        </w:rPr>
        <w:t>Olmstead</w:t>
      </w:r>
      <w:r w:rsidRPr="00427BD7">
        <w:t xml:space="preserve"> because they</w:t>
      </w:r>
      <w:r w:rsidR="002C63CE" w:rsidRPr="00427BD7">
        <w:t xml:space="preserve"> </w:t>
      </w:r>
      <w:r w:rsidR="00861550" w:rsidRPr="00427BD7">
        <w:t>have a great deal of control over</w:t>
      </w:r>
      <w:r w:rsidR="00797992" w:rsidRPr="00427BD7">
        <w:t xml:space="preserve"> the </w:t>
      </w:r>
      <w:r w:rsidR="00F247CD" w:rsidRPr="00427BD7">
        <w:t xml:space="preserve">LTSS that older </w:t>
      </w:r>
      <w:r w:rsidRPr="00427BD7">
        <w:t xml:space="preserve">Medicaid </w:t>
      </w:r>
      <w:r w:rsidR="00F247CD" w:rsidRPr="00427BD7">
        <w:t>beneficiaries</w:t>
      </w:r>
      <w:r w:rsidR="00797992" w:rsidRPr="00427BD7">
        <w:t xml:space="preserve"> </w:t>
      </w:r>
      <w:r w:rsidR="00F247CD" w:rsidRPr="00427BD7">
        <w:t>receive</w:t>
      </w:r>
      <w:r w:rsidR="00281224" w:rsidRPr="00427BD7">
        <w:t xml:space="preserve">.  </w:t>
      </w:r>
      <w:r w:rsidR="00FC4E63" w:rsidRPr="00427BD7">
        <w:t>States operate</w:t>
      </w:r>
      <w:r w:rsidRPr="00427BD7">
        <w:t xml:space="preserve"> Medicaid under</w:t>
      </w:r>
      <w:r w:rsidR="001607E7" w:rsidRPr="00427BD7">
        <w:t xml:space="preserve"> broad</w:t>
      </w:r>
      <w:r w:rsidRPr="00427BD7">
        <w:t xml:space="preserve"> </w:t>
      </w:r>
      <w:r w:rsidR="00861550" w:rsidRPr="00427BD7">
        <w:t xml:space="preserve">federal </w:t>
      </w:r>
      <w:r w:rsidR="002C63CE" w:rsidRPr="00427BD7">
        <w:t>guidelin</w:t>
      </w:r>
      <w:r w:rsidR="00861550" w:rsidRPr="00427BD7">
        <w:t>es</w:t>
      </w:r>
      <w:r w:rsidRPr="00427BD7">
        <w:t xml:space="preserve"> and</w:t>
      </w:r>
      <w:r w:rsidR="00F247CD" w:rsidRPr="00427BD7">
        <w:t xml:space="preserve"> decide: 1)</w:t>
      </w:r>
      <w:r w:rsidR="002C63CE" w:rsidRPr="00427BD7">
        <w:t xml:space="preserve"> financial and functional eligibility </w:t>
      </w:r>
      <w:r w:rsidR="00FC4E63" w:rsidRPr="00427BD7">
        <w:t xml:space="preserve">criteria </w:t>
      </w:r>
      <w:r w:rsidR="002C63CE" w:rsidRPr="00427BD7">
        <w:t>for LTSS</w:t>
      </w:r>
      <w:r w:rsidR="002B4EE7" w:rsidRPr="00427BD7">
        <w:t>,</w:t>
      </w:r>
      <w:r w:rsidR="004C19BE" w:rsidRPr="00427BD7">
        <w:t xml:space="preserve"> and</w:t>
      </w:r>
      <w:r w:rsidR="002B4EE7" w:rsidRPr="00427BD7">
        <w:t xml:space="preserve"> </w:t>
      </w:r>
      <w:r w:rsidR="00F247CD" w:rsidRPr="00427BD7">
        <w:t xml:space="preserve">2) </w:t>
      </w:r>
      <w:r w:rsidR="008D6E90" w:rsidRPr="00427BD7">
        <w:t xml:space="preserve">the range of </w:t>
      </w:r>
      <w:r w:rsidR="002B4EE7" w:rsidRPr="00427BD7">
        <w:t>HCBS that beneficiaries can receive and under what circumstances</w:t>
      </w:r>
      <w:r w:rsidR="004C19BE" w:rsidRPr="00427BD7">
        <w:t>.</w:t>
      </w:r>
    </w:p>
    <w:p w14:paraId="090195BB" w14:textId="5985D81F" w:rsidR="002C4A58" w:rsidRPr="00427BD7" w:rsidRDefault="00F247CD" w:rsidP="002C4A58">
      <w:pPr>
        <w:spacing w:line="240" w:lineRule="auto"/>
      </w:pPr>
      <w:r w:rsidRPr="00427BD7">
        <w:t xml:space="preserve">States can use </w:t>
      </w:r>
      <w:r w:rsidR="000B0C82" w:rsidRPr="00427BD7">
        <w:t xml:space="preserve">their Medicaid flexibility and </w:t>
      </w:r>
      <w:r w:rsidRPr="00427BD7">
        <w:t xml:space="preserve">extant research </w:t>
      </w:r>
      <w:r w:rsidR="004C6104" w:rsidRPr="00427BD7">
        <w:t xml:space="preserve">results </w:t>
      </w:r>
      <w:r w:rsidRPr="00427BD7">
        <w:t>to ensure that older Medicaid beneficiaries</w:t>
      </w:r>
      <w:r w:rsidR="003F75C0" w:rsidRPr="00427BD7">
        <w:t xml:space="preserve"> </w:t>
      </w:r>
      <w:r w:rsidR="008D6E90" w:rsidRPr="00427BD7">
        <w:t xml:space="preserve">receiving LTSS </w:t>
      </w:r>
      <w:r w:rsidR="00281224" w:rsidRPr="00427BD7">
        <w:t xml:space="preserve">have </w:t>
      </w:r>
      <w:r w:rsidR="008D6E90" w:rsidRPr="00427BD7">
        <w:t>as much opportunity</w:t>
      </w:r>
      <w:r w:rsidRPr="00427BD7">
        <w:t xml:space="preserve"> to </w:t>
      </w:r>
      <w:r w:rsidR="008D6E90" w:rsidRPr="00427BD7">
        <w:t xml:space="preserve">live in </w:t>
      </w:r>
      <w:r w:rsidRPr="00427BD7">
        <w:t>the community as do younger</w:t>
      </w:r>
      <w:r w:rsidR="008D6E90" w:rsidRPr="00427BD7">
        <w:t xml:space="preserve"> beneficiaries</w:t>
      </w:r>
      <w:r w:rsidRPr="00427BD7">
        <w:t>.</w:t>
      </w:r>
      <w:r w:rsidR="00D55EAB" w:rsidRPr="00427BD7">
        <w:t xml:space="preserve">  For example</w:t>
      </w:r>
      <w:r w:rsidR="004C6104" w:rsidRPr="00427BD7">
        <w:t>, states could target their home and comm</w:t>
      </w:r>
      <w:r w:rsidR="00124EF0" w:rsidRPr="00427BD7">
        <w:t>unity-based services to those</w:t>
      </w:r>
      <w:r w:rsidR="00C2706F" w:rsidRPr="00427BD7">
        <w:t xml:space="preserve"> most at</w:t>
      </w:r>
      <w:r w:rsidR="00281224" w:rsidRPr="00427BD7">
        <w:t xml:space="preserve"> risk of entering</w:t>
      </w:r>
      <w:r w:rsidR="004C6104" w:rsidRPr="00427BD7">
        <w:t xml:space="preserve"> nursing homes. </w:t>
      </w:r>
      <w:r w:rsidRPr="00427BD7">
        <w:t xml:space="preserve"> </w:t>
      </w:r>
      <w:r w:rsidR="00505C81" w:rsidRPr="00427BD7">
        <w:t>R</w:t>
      </w:r>
      <w:r w:rsidR="008D6E90" w:rsidRPr="00427BD7">
        <w:t>esearch shows that</w:t>
      </w:r>
      <w:r w:rsidR="002C4A58" w:rsidRPr="00427BD7">
        <w:t xml:space="preserve"> older adults </w:t>
      </w:r>
      <w:r w:rsidR="008D6E90" w:rsidRPr="00427BD7">
        <w:t>with the most risk</w:t>
      </w:r>
      <w:r w:rsidR="002C4A58" w:rsidRPr="00427BD7">
        <w:t xml:space="preserve"> are those with limitations in </w:t>
      </w:r>
      <w:r w:rsidR="004D5035" w:rsidRPr="00427BD7">
        <w:t xml:space="preserve">3 </w:t>
      </w:r>
      <w:r w:rsidR="00124EF0" w:rsidRPr="00427BD7">
        <w:t>or m</w:t>
      </w:r>
      <w:r w:rsidR="007852FB" w:rsidRPr="00427BD7">
        <w:t>ore ADLs</w:t>
      </w:r>
      <w:r w:rsidR="002C4A58" w:rsidRPr="00427BD7">
        <w:t>, cognitive impairment,</w:t>
      </w:r>
      <w:r w:rsidR="00124EF0" w:rsidRPr="00427BD7">
        <w:t xml:space="preserve"> or </w:t>
      </w:r>
      <w:r w:rsidR="008D6E90" w:rsidRPr="00427BD7">
        <w:t>poor health</w:t>
      </w:r>
      <w:r w:rsidR="00C2706F" w:rsidRPr="00427BD7">
        <w:t xml:space="preserve">. </w:t>
      </w:r>
      <w:r w:rsidR="003F75C0" w:rsidRPr="00427BD7">
        <w:t xml:space="preserve"> </w:t>
      </w:r>
      <w:r w:rsidR="004C6104" w:rsidRPr="00427BD7">
        <w:t>States could also help ensure that HCBS provide relief to family caregivers because</w:t>
      </w:r>
      <w:r w:rsidR="008D6E90" w:rsidRPr="00427BD7">
        <w:t xml:space="preserve"> increased caregiver stress is related to </w:t>
      </w:r>
      <w:r w:rsidR="00D02248" w:rsidRPr="00427BD7">
        <w:t>more</w:t>
      </w:r>
      <w:r w:rsidR="003D6D2E" w:rsidRPr="00427BD7">
        <w:t xml:space="preserve"> use of nursing homes</w:t>
      </w:r>
      <w:r w:rsidR="004C6104" w:rsidRPr="00427BD7">
        <w:t xml:space="preserve">. </w:t>
      </w:r>
    </w:p>
    <w:p w14:paraId="1CD9DDB5" w14:textId="486E6ECD" w:rsidR="008423A7" w:rsidRPr="00427BD7" w:rsidRDefault="004C6104" w:rsidP="008423A7">
      <w:pPr>
        <w:spacing w:line="240" w:lineRule="auto"/>
      </w:pPr>
      <w:r w:rsidRPr="00427BD7">
        <w:t xml:space="preserve">States </w:t>
      </w:r>
      <w:r w:rsidR="008D6E90" w:rsidRPr="00427BD7">
        <w:t xml:space="preserve">that </w:t>
      </w:r>
      <w:r w:rsidR="007822F2" w:rsidRPr="00427BD7">
        <w:t>heavily invest in</w:t>
      </w:r>
      <w:r w:rsidR="00C2706F" w:rsidRPr="00427BD7">
        <w:t xml:space="preserve"> HCBS </w:t>
      </w:r>
      <w:r w:rsidRPr="00427BD7">
        <w:t>would likely see decreased use of nursing homes.  N</w:t>
      </w:r>
      <w:r w:rsidR="002C4A58" w:rsidRPr="00427BD7">
        <w:t>umerous studies show that increased</w:t>
      </w:r>
      <w:r w:rsidR="00D02248" w:rsidRPr="00427BD7">
        <w:t xml:space="preserve"> </w:t>
      </w:r>
      <w:r w:rsidR="00C2706F" w:rsidRPr="00427BD7">
        <w:t>public spending on</w:t>
      </w:r>
      <w:r w:rsidR="002C4A58" w:rsidRPr="00427BD7">
        <w:t xml:space="preserve"> HCBS is associated with lower use of nursing homes</w:t>
      </w:r>
      <w:r w:rsidR="00AF7D7D" w:rsidRPr="00427BD7">
        <w:t xml:space="preserve"> for older adults</w:t>
      </w:r>
      <w:r w:rsidR="002C4A58" w:rsidRPr="00427BD7">
        <w:t>. This i</w:t>
      </w:r>
      <w:r w:rsidR="004D5035" w:rsidRPr="00427BD7">
        <w:t>s true for</w:t>
      </w:r>
      <w:r w:rsidR="002C4A58" w:rsidRPr="00427BD7">
        <w:t xml:space="preserve"> Medicaid-funded HCBS, and </w:t>
      </w:r>
      <w:r w:rsidR="00124EF0" w:rsidRPr="00427BD7">
        <w:t xml:space="preserve">separately for </w:t>
      </w:r>
      <w:r w:rsidR="002C4A58" w:rsidRPr="00427BD7">
        <w:t xml:space="preserve">Older Americans Act (OAA)-funded HCBS </w:t>
      </w:r>
      <w:r w:rsidR="00AF7D7D" w:rsidRPr="00427BD7">
        <w:t xml:space="preserve">and meals.  </w:t>
      </w:r>
    </w:p>
    <w:p w14:paraId="6D1B3A20" w14:textId="7CDF50B3" w:rsidR="008423A7" w:rsidRPr="00427BD7" w:rsidRDefault="00EF48B5" w:rsidP="003B6F16">
      <w:pPr>
        <w:spacing w:line="240" w:lineRule="auto"/>
      </w:pPr>
      <w:r w:rsidRPr="00427BD7">
        <w:t xml:space="preserve">Older adults with dementia </w:t>
      </w:r>
      <w:r w:rsidR="00C2706F" w:rsidRPr="00427BD7">
        <w:t>are at high risk of using nursing homes due to cognitive impairment</w:t>
      </w:r>
      <w:r w:rsidR="007822F2" w:rsidRPr="00427BD7">
        <w:t>.</w:t>
      </w:r>
      <w:r w:rsidR="00C2706F" w:rsidRPr="00427BD7">
        <w:t xml:space="preserve"> </w:t>
      </w:r>
      <w:r w:rsidR="0017491B" w:rsidRPr="00427BD7">
        <w:t>E</w:t>
      </w:r>
      <w:r w:rsidR="00AF7D7D" w:rsidRPr="00427BD7">
        <w:t>ffective use of proven</w:t>
      </w:r>
      <w:r w:rsidR="008423A7" w:rsidRPr="00427BD7">
        <w:t xml:space="preserve"> dementia care interventions for people with the condition</w:t>
      </w:r>
      <w:r w:rsidR="00C50CD8" w:rsidRPr="00427BD7">
        <w:t xml:space="preserve"> and </w:t>
      </w:r>
      <w:r w:rsidR="008423A7" w:rsidRPr="00427BD7">
        <w:t xml:space="preserve">their family </w:t>
      </w:r>
      <w:r w:rsidR="008423A7" w:rsidRPr="00427BD7">
        <w:lastRenderedPageBreak/>
        <w:t>caregivers</w:t>
      </w:r>
      <w:r w:rsidR="00C2706F" w:rsidRPr="00427BD7">
        <w:t xml:space="preserve"> has</w:t>
      </w:r>
      <w:r w:rsidRPr="00427BD7">
        <w:t xml:space="preserve"> the potential</w:t>
      </w:r>
      <w:r w:rsidR="003B6F16" w:rsidRPr="00427BD7">
        <w:t xml:space="preserve"> to reduce nursing home use. </w:t>
      </w:r>
      <w:r w:rsidR="008423A7" w:rsidRPr="00427BD7">
        <w:t xml:space="preserve"> </w:t>
      </w:r>
      <w:r w:rsidR="00D02248" w:rsidRPr="00427BD7">
        <w:t xml:space="preserve">Researchers </w:t>
      </w:r>
      <w:r w:rsidR="0017491B" w:rsidRPr="00427BD7">
        <w:t>identi</w:t>
      </w:r>
      <w:r w:rsidR="00D02248" w:rsidRPr="00427BD7">
        <w:t>fy</w:t>
      </w:r>
      <w:r w:rsidR="0017491B" w:rsidRPr="00427BD7">
        <w:t xml:space="preserve"> five </w:t>
      </w:r>
      <w:r w:rsidR="008423A7" w:rsidRPr="00427BD7">
        <w:t>common components of quality dementia care</w:t>
      </w:r>
      <w:r w:rsidR="003B6F16" w:rsidRPr="00427BD7">
        <w:t xml:space="preserve"> including: </w:t>
      </w:r>
      <w:r w:rsidR="00FC4E63" w:rsidRPr="00427BD7">
        <w:t xml:space="preserve">1) </w:t>
      </w:r>
      <w:r w:rsidR="003B6F16" w:rsidRPr="00427BD7">
        <w:t xml:space="preserve">formal diagnosis, </w:t>
      </w:r>
      <w:r w:rsidR="00FC4E63" w:rsidRPr="00427BD7">
        <w:t xml:space="preserve">2) </w:t>
      </w:r>
      <w:r w:rsidR="003B6F16" w:rsidRPr="00427BD7">
        <w:t xml:space="preserve">education of </w:t>
      </w:r>
      <w:r w:rsidR="00FC4E63" w:rsidRPr="00427BD7">
        <w:t>people with dementia and their families, 3) prov</w:t>
      </w:r>
      <w:r w:rsidR="00CD4C14" w:rsidRPr="00427BD7">
        <w:t xml:space="preserve">ision of supports and services to </w:t>
      </w:r>
      <w:r w:rsidR="007852FB" w:rsidRPr="00427BD7">
        <w:t xml:space="preserve">them, </w:t>
      </w:r>
      <w:r w:rsidR="00FC4E63" w:rsidRPr="00427BD7">
        <w:t xml:space="preserve">4) </w:t>
      </w:r>
      <w:r w:rsidR="003B6F16" w:rsidRPr="00427BD7">
        <w:t>attention to medication needs</w:t>
      </w:r>
      <w:r w:rsidR="00FC4E63" w:rsidRPr="00427BD7">
        <w:t>,</w:t>
      </w:r>
      <w:r w:rsidR="003B6F16" w:rsidRPr="00427BD7">
        <w:t xml:space="preserve"> and </w:t>
      </w:r>
      <w:r w:rsidR="00FC4E63" w:rsidRPr="00427BD7">
        <w:t>5) adjustment of</w:t>
      </w:r>
      <w:r w:rsidR="003B6F16" w:rsidRPr="00427BD7">
        <w:t xml:space="preserve"> care goals over time</w:t>
      </w:r>
      <w:r w:rsidR="008423A7" w:rsidRPr="00427BD7">
        <w:t xml:space="preserve">.  </w:t>
      </w:r>
    </w:p>
    <w:p w14:paraId="4891C181" w14:textId="49EBEE2B" w:rsidR="008423A7" w:rsidRPr="00427BD7" w:rsidRDefault="008423A7" w:rsidP="008423A7">
      <w:pPr>
        <w:spacing w:line="240" w:lineRule="auto"/>
      </w:pPr>
      <w:r w:rsidRPr="00427BD7">
        <w:t>States vary in terms of their approach</w:t>
      </w:r>
      <w:r w:rsidR="008D6E90" w:rsidRPr="00427BD7">
        <w:t>es</w:t>
      </w:r>
      <w:r w:rsidRPr="00427BD7">
        <w:t xml:space="preserve"> to providing HCBS</w:t>
      </w:r>
      <w:r w:rsidR="003B6F16" w:rsidRPr="00427BD7">
        <w:t xml:space="preserve"> and</w:t>
      </w:r>
      <w:r w:rsidRPr="00427BD7">
        <w:t xml:space="preserve"> many </w:t>
      </w:r>
      <w:r w:rsidR="003F75C0" w:rsidRPr="00427BD7">
        <w:t>states have the</w:t>
      </w:r>
      <w:r w:rsidR="00D55EAB" w:rsidRPr="00427BD7">
        <w:t xml:space="preserve"> opportunity to</w:t>
      </w:r>
      <w:r w:rsidRPr="00427BD7">
        <w:t xml:space="preserve"> provide more</w:t>
      </w:r>
      <w:r w:rsidR="008D6E90" w:rsidRPr="00427BD7">
        <w:t xml:space="preserve"> of them</w:t>
      </w:r>
      <w:r w:rsidRPr="00427BD7">
        <w:t xml:space="preserve"> to older adults</w:t>
      </w:r>
      <w:r w:rsidR="003F75C0" w:rsidRPr="00427BD7">
        <w:t xml:space="preserve"> with disabilities</w:t>
      </w:r>
      <w:r w:rsidRPr="00427BD7">
        <w:t>, including those with dementia.</w:t>
      </w:r>
      <w:r w:rsidR="00FA3D71" w:rsidRPr="00427BD7">
        <w:t xml:space="preserve"> States also have a responsibility to ensure that their nursing homes respond appropriately to their residents’ desire to leave the facility</w:t>
      </w:r>
      <w:r w:rsidR="003F75C0" w:rsidRPr="00427BD7">
        <w:t xml:space="preserve"> and live in their communities</w:t>
      </w:r>
      <w:r w:rsidR="00FA3D71" w:rsidRPr="00427BD7">
        <w:t>.</w:t>
      </w:r>
      <w:r w:rsidRPr="00427BD7">
        <w:t xml:space="preserve">  </w:t>
      </w:r>
      <w:r w:rsidR="003B6F16" w:rsidRPr="00427BD7">
        <w:t xml:space="preserve">If </w:t>
      </w:r>
      <w:r w:rsidR="008D6E90" w:rsidRPr="00427BD7">
        <w:t xml:space="preserve">states take these steps, they can </w:t>
      </w:r>
      <w:r w:rsidRPr="00427BD7">
        <w:t xml:space="preserve">improve the lives of </w:t>
      </w:r>
      <w:r w:rsidR="003B6F16" w:rsidRPr="00427BD7">
        <w:t>older adults</w:t>
      </w:r>
      <w:r w:rsidR="00281224" w:rsidRPr="00427BD7">
        <w:t xml:space="preserve"> with disabilities</w:t>
      </w:r>
      <w:r w:rsidRPr="00427BD7">
        <w:t xml:space="preserve"> and their caregivers</w:t>
      </w:r>
      <w:r w:rsidR="007822F2" w:rsidRPr="00427BD7">
        <w:t>.</w:t>
      </w:r>
    </w:p>
    <w:p w14:paraId="1AB950A6" w14:textId="77777777" w:rsidR="00127E91" w:rsidRPr="00427BD7" w:rsidRDefault="00127E91">
      <w:pPr>
        <w:rPr>
          <w:b/>
        </w:rPr>
      </w:pPr>
      <w:r w:rsidRPr="00427BD7">
        <w:rPr>
          <w:b/>
        </w:rPr>
        <w:br w:type="page"/>
      </w:r>
    </w:p>
    <w:p w14:paraId="1E6D2D0E" w14:textId="77777777" w:rsidR="007852FB" w:rsidRPr="00427BD7" w:rsidRDefault="007E7E6B" w:rsidP="00202A02">
      <w:pPr>
        <w:spacing w:after="0" w:line="240" w:lineRule="auto"/>
        <w:jc w:val="center"/>
        <w:rPr>
          <w:b/>
          <w:sz w:val="28"/>
          <w:szCs w:val="28"/>
        </w:rPr>
      </w:pPr>
      <w:r w:rsidRPr="00427BD7">
        <w:rPr>
          <w:b/>
        </w:rPr>
        <w:lastRenderedPageBreak/>
        <w:t xml:space="preserve"> </w:t>
      </w:r>
      <w:r w:rsidR="00CC0D4F" w:rsidRPr="00427BD7">
        <w:rPr>
          <w:b/>
          <w:sz w:val="28"/>
          <w:szCs w:val="28"/>
        </w:rPr>
        <w:t xml:space="preserve">Promoting Community Living for Older Adults </w:t>
      </w:r>
      <w:r w:rsidR="00162511" w:rsidRPr="00427BD7">
        <w:rPr>
          <w:b/>
          <w:sz w:val="28"/>
          <w:szCs w:val="28"/>
        </w:rPr>
        <w:t xml:space="preserve">Who Need </w:t>
      </w:r>
    </w:p>
    <w:p w14:paraId="29ABD535" w14:textId="79D8B9B7" w:rsidR="00202A02" w:rsidRPr="00202A02" w:rsidRDefault="00162511" w:rsidP="00202A02">
      <w:pPr>
        <w:spacing w:line="240" w:lineRule="auto"/>
        <w:jc w:val="center"/>
        <w:rPr>
          <w:b/>
          <w:sz w:val="28"/>
          <w:szCs w:val="28"/>
        </w:rPr>
      </w:pPr>
      <w:r w:rsidRPr="00427BD7">
        <w:rPr>
          <w:b/>
          <w:sz w:val="28"/>
          <w:szCs w:val="28"/>
        </w:rPr>
        <w:t>Long-term Services and Supports</w:t>
      </w:r>
    </w:p>
    <w:p w14:paraId="401F123E" w14:textId="5C4262E4" w:rsidR="00202A02" w:rsidRPr="004C5E2B" w:rsidRDefault="00202A02" w:rsidP="004C5E2B">
      <w:pPr>
        <w:pStyle w:val="Heading1"/>
        <w:numPr>
          <w:ilvl w:val="0"/>
          <w:numId w:val="42"/>
        </w:numPr>
        <w:rPr>
          <w:rFonts w:ascii="Calibri" w:hAnsi="Calibri"/>
          <w:color w:val="auto"/>
          <w:sz w:val="22"/>
          <w:szCs w:val="22"/>
        </w:rPr>
      </w:pPr>
      <w:r w:rsidRPr="004C5E2B">
        <w:rPr>
          <w:rFonts w:ascii="Calibri" w:hAnsi="Calibri"/>
          <w:color w:val="auto"/>
          <w:sz w:val="22"/>
          <w:szCs w:val="22"/>
        </w:rPr>
        <w:t>Introduction</w:t>
      </w:r>
    </w:p>
    <w:p w14:paraId="3F03233D" w14:textId="7E575DC0" w:rsidR="00FC4E63" w:rsidRPr="00427BD7" w:rsidRDefault="00FC4E63" w:rsidP="00FC4E63">
      <w:pPr>
        <w:spacing w:line="240" w:lineRule="auto"/>
      </w:pPr>
      <w:r w:rsidRPr="00427BD7">
        <w:t xml:space="preserve">Most older adults </w:t>
      </w:r>
      <w:r w:rsidR="00162511" w:rsidRPr="00427BD7">
        <w:t>who need LTSS</w:t>
      </w:r>
      <w:r w:rsidRPr="00427BD7">
        <w:rPr>
          <w:vertAlign w:val="superscript"/>
        </w:rPr>
        <w:t xml:space="preserve"> </w:t>
      </w:r>
      <w:r w:rsidRPr="00427BD7">
        <w:t xml:space="preserve">live in the community, often with the help of family and friends, and some receive paid services. </w:t>
      </w:r>
      <w:r w:rsidR="004C6104" w:rsidRPr="00427BD7">
        <w:t xml:space="preserve">(Freedman and Spillman, 2014).  </w:t>
      </w:r>
      <w:r w:rsidRPr="00427BD7">
        <w:t xml:space="preserve">Many older adults receive help through Older Americans Act-funded meals and in-home services. </w:t>
      </w:r>
      <w:r w:rsidR="005B38A0" w:rsidRPr="00427BD7">
        <w:t>Those with</w:t>
      </w:r>
      <w:r w:rsidR="004C6104" w:rsidRPr="00427BD7">
        <w:t xml:space="preserve"> few financial r</w:t>
      </w:r>
      <w:r w:rsidR="00EB6673" w:rsidRPr="00427BD7">
        <w:t>esources often rely on Medicaid</w:t>
      </w:r>
      <w:r w:rsidR="00AA7844" w:rsidRPr="00427BD7">
        <w:t xml:space="preserve">, which is the </w:t>
      </w:r>
      <w:r w:rsidR="004C6104" w:rsidRPr="00427BD7">
        <w:t>primary</w:t>
      </w:r>
      <w:r w:rsidR="00C374F0" w:rsidRPr="00427BD7">
        <w:t xml:space="preserve"> public</w:t>
      </w:r>
      <w:r w:rsidR="004C6104" w:rsidRPr="00427BD7">
        <w:t xml:space="preserve"> payer of </w:t>
      </w:r>
      <w:r w:rsidR="00AA7844" w:rsidRPr="00427BD7">
        <w:t>long-term services and supports (</w:t>
      </w:r>
      <w:r w:rsidR="004C6104" w:rsidRPr="00427BD7">
        <w:t>LTSS</w:t>
      </w:r>
      <w:r w:rsidR="00AA7844" w:rsidRPr="00427BD7">
        <w:t>)</w:t>
      </w:r>
      <w:r w:rsidR="004C6104" w:rsidRPr="00427BD7">
        <w:t xml:space="preserve">.  </w:t>
      </w:r>
      <w:r w:rsidR="007852FB" w:rsidRPr="00427BD7">
        <w:t>About</w:t>
      </w:r>
      <w:r w:rsidR="00B47689" w:rsidRPr="00427BD7">
        <w:t xml:space="preserve"> half of </w:t>
      </w:r>
      <w:r w:rsidR="00281224" w:rsidRPr="00427BD7">
        <w:t xml:space="preserve">older </w:t>
      </w:r>
      <w:r w:rsidR="00B47689" w:rsidRPr="00427BD7">
        <w:t>Medicaid benefic</w:t>
      </w:r>
      <w:r w:rsidR="00281224" w:rsidRPr="00427BD7">
        <w:t>iaries</w:t>
      </w:r>
      <w:r w:rsidR="00B47689" w:rsidRPr="00427BD7">
        <w:t xml:space="preserve"> who </w:t>
      </w:r>
      <w:r w:rsidR="005B38A0" w:rsidRPr="00427BD7">
        <w:t xml:space="preserve">receive </w:t>
      </w:r>
      <w:r w:rsidR="00B855F1" w:rsidRPr="00427BD7">
        <w:t>LTSS</w:t>
      </w:r>
      <w:r w:rsidR="00B47689" w:rsidRPr="00427BD7">
        <w:t xml:space="preserve"> live in nursing homes (Eiken </w:t>
      </w:r>
      <w:r w:rsidR="00427BD7">
        <w:t>et al.,</w:t>
      </w:r>
      <w:r w:rsidR="00B47689" w:rsidRPr="00427BD7">
        <w:t xml:space="preserve"> September 2015). However, </w:t>
      </w:r>
      <w:r w:rsidR="004C6104" w:rsidRPr="00427BD7">
        <w:t>older adults prefer to live</w:t>
      </w:r>
      <w:r w:rsidR="00B47689" w:rsidRPr="00427BD7">
        <w:t xml:space="preserve"> in their homes and communities</w:t>
      </w:r>
      <w:r w:rsidR="004C6104" w:rsidRPr="00427BD7">
        <w:t xml:space="preserve"> (Keenan, 2010).</w:t>
      </w:r>
      <w:r w:rsidR="00162511" w:rsidRPr="00427BD7">
        <w:t xml:space="preserve">  </w:t>
      </w:r>
    </w:p>
    <w:p w14:paraId="6532EC1C" w14:textId="77777777" w:rsidR="00162511" w:rsidRPr="00427BD7" w:rsidRDefault="00B47689" w:rsidP="005732CE">
      <w:pPr>
        <w:spacing w:line="240" w:lineRule="auto"/>
      </w:pPr>
      <w:r w:rsidRPr="00427BD7">
        <w:t xml:space="preserve">Older </w:t>
      </w:r>
      <w:r w:rsidR="00281224" w:rsidRPr="00427BD7">
        <w:t xml:space="preserve">Medicaid beneficiaries’ </w:t>
      </w:r>
      <w:r w:rsidR="00D668C7" w:rsidRPr="00427BD7">
        <w:t>high rate of institutionalization</w:t>
      </w:r>
      <w:r w:rsidR="00E44D8D" w:rsidRPr="00427BD7">
        <w:t xml:space="preserve"> </w:t>
      </w:r>
      <w:r w:rsidR="008D6372" w:rsidRPr="00427BD7">
        <w:t xml:space="preserve">persists </w:t>
      </w:r>
      <w:r w:rsidR="00E44D8D" w:rsidRPr="00427BD7">
        <w:t>more than 15 years after</w:t>
      </w:r>
      <w:r w:rsidR="00522637" w:rsidRPr="00427BD7">
        <w:t xml:space="preserve"> </w:t>
      </w:r>
      <w:r w:rsidR="008D6372" w:rsidRPr="00427BD7">
        <w:t xml:space="preserve">the United States </w:t>
      </w:r>
      <w:r w:rsidR="00522637" w:rsidRPr="00427BD7">
        <w:t xml:space="preserve">Supreme Court’s </w:t>
      </w:r>
      <w:r w:rsidR="00522637" w:rsidRPr="00427BD7">
        <w:rPr>
          <w:i/>
        </w:rPr>
        <w:t>Olmstead</w:t>
      </w:r>
      <w:r w:rsidR="008D6372" w:rsidRPr="00427BD7">
        <w:rPr>
          <w:i/>
        </w:rPr>
        <w:t xml:space="preserve"> v. LC</w:t>
      </w:r>
      <w:r w:rsidR="00522637" w:rsidRPr="00427BD7">
        <w:t xml:space="preserve"> decision</w:t>
      </w:r>
      <w:r w:rsidR="00D668C7" w:rsidRPr="00427BD7">
        <w:t xml:space="preserve"> in 1999.</w:t>
      </w:r>
      <w:r w:rsidR="008656C3" w:rsidRPr="00427BD7">
        <w:t xml:space="preserve">  </w:t>
      </w:r>
      <w:r w:rsidR="00D668C7" w:rsidRPr="00427BD7">
        <w:t>The Court held</w:t>
      </w:r>
      <w:r w:rsidR="00522637" w:rsidRPr="00427BD7">
        <w:t xml:space="preserve"> that </w:t>
      </w:r>
      <w:r w:rsidR="00522637" w:rsidRPr="00427BD7">
        <w:rPr>
          <w:lang w:val="en"/>
        </w:rPr>
        <w:t>unj</w:t>
      </w:r>
      <w:r w:rsidR="00F54E6B" w:rsidRPr="00427BD7">
        <w:rPr>
          <w:lang w:val="en"/>
        </w:rPr>
        <w:t xml:space="preserve">ustified </w:t>
      </w:r>
      <w:r w:rsidR="008D6372" w:rsidRPr="00427BD7">
        <w:rPr>
          <w:lang w:val="en"/>
        </w:rPr>
        <w:t xml:space="preserve">isolation </w:t>
      </w:r>
      <w:r w:rsidR="00F54E6B" w:rsidRPr="00427BD7">
        <w:rPr>
          <w:lang w:val="en"/>
        </w:rPr>
        <w:t xml:space="preserve">of people with disabilities </w:t>
      </w:r>
      <w:r w:rsidR="001D0A9E" w:rsidRPr="00427BD7">
        <w:rPr>
          <w:lang w:val="en"/>
        </w:rPr>
        <w:t xml:space="preserve">in institutions </w:t>
      </w:r>
      <w:r w:rsidR="00F54E6B" w:rsidRPr="00427BD7">
        <w:rPr>
          <w:lang w:val="en"/>
        </w:rPr>
        <w:t xml:space="preserve">violates the anti-discrimination </w:t>
      </w:r>
      <w:r w:rsidR="008D6372" w:rsidRPr="00427BD7">
        <w:rPr>
          <w:lang w:val="en"/>
        </w:rPr>
        <w:t>T</w:t>
      </w:r>
      <w:r w:rsidR="00F54E6B" w:rsidRPr="00427BD7">
        <w:rPr>
          <w:lang w:val="en"/>
        </w:rPr>
        <w:t>i</w:t>
      </w:r>
      <w:r w:rsidR="00522637" w:rsidRPr="00427BD7">
        <w:rPr>
          <w:lang w:val="en"/>
        </w:rPr>
        <w:t>tle II of the Americans with Disabilities Act</w:t>
      </w:r>
      <w:r w:rsidR="008656C3" w:rsidRPr="00427BD7">
        <w:rPr>
          <w:lang w:val="en"/>
        </w:rPr>
        <w:t xml:space="preserve">.  </w:t>
      </w:r>
      <w:r w:rsidR="00F54E6B" w:rsidRPr="00427BD7">
        <w:rPr>
          <w:lang w:val="en"/>
        </w:rPr>
        <w:t xml:space="preserve">The Court added that </w:t>
      </w:r>
      <w:r w:rsidR="00F54E6B" w:rsidRPr="00427BD7">
        <w:t>public entities must provide community-based services to persons with disabilities when</w:t>
      </w:r>
      <w:r w:rsidR="00D6241A" w:rsidRPr="00427BD7">
        <w:t>:</w:t>
      </w:r>
      <w:r w:rsidR="00F54E6B" w:rsidRPr="00427BD7">
        <w:t xml:space="preserve"> (1) such services are appropriate; (2) the affected persons do not oppose community-based treatment; and (3) community-based services can be reasonably accommodated, taking into account the resources available to the public entity and the needs of others who are receiving disa</w:t>
      </w:r>
      <w:r w:rsidR="00D30E0B" w:rsidRPr="00427BD7">
        <w:t>bility services from the entity</w:t>
      </w:r>
      <w:r w:rsidR="00B855F1" w:rsidRPr="00427BD7">
        <w:t xml:space="preserve"> (</w:t>
      </w:r>
      <w:r w:rsidR="005B38A0" w:rsidRPr="00427BD7">
        <w:t xml:space="preserve">U.S. </w:t>
      </w:r>
      <w:r w:rsidR="00F54E6B" w:rsidRPr="00427BD7">
        <w:t>Department of Justice, 2016)</w:t>
      </w:r>
      <w:r w:rsidR="00D30E0B" w:rsidRPr="00427BD7">
        <w:t>.</w:t>
      </w:r>
      <w:r w:rsidR="00F6716D" w:rsidRPr="00427BD7">
        <w:t xml:space="preserve">  </w:t>
      </w:r>
    </w:p>
    <w:p w14:paraId="554B3704" w14:textId="4ADAB948" w:rsidR="005732CE" w:rsidRPr="00427BD7" w:rsidRDefault="00162511" w:rsidP="005732CE">
      <w:pPr>
        <w:spacing w:line="240" w:lineRule="auto"/>
        <w:rPr>
          <w:b/>
        </w:rPr>
      </w:pPr>
      <w:r w:rsidRPr="00427BD7">
        <w:rPr>
          <w:i/>
          <w:lang w:val="en"/>
        </w:rPr>
        <w:t>Olmstead</w:t>
      </w:r>
      <w:r w:rsidRPr="00427BD7">
        <w:rPr>
          <w:lang w:val="en"/>
        </w:rPr>
        <w:t xml:space="preserve"> applies to people of all ages who need LTSS, including those who acquire their disabilities after they reach age 65. </w:t>
      </w:r>
      <w:r w:rsidRPr="00427BD7">
        <w:t>Many older adults will need assistance with ADLs at some point in their lives. Although some older adults who need LTSS for assistance with these activities do not think of themselves as people with disabilities, they do meet the legal definition, and the Olmstead decision applies to them.  While</w:t>
      </w:r>
      <w:r w:rsidR="005732CE" w:rsidRPr="00427BD7">
        <w:rPr>
          <w:i/>
        </w:rPr>
        <w:t xml:space="preserve"> Olmstead</w:t>
      </w:r>
      <w:r w:rsidR="005732CE" w:rsidRPr="00427BD7">
        <w:t xml:space="preserve"> applies to people of all ages</w:t>
      </w:r>
      <w:r w:rsidR="00E44D8D" w:rsidRPr="00427BD7">
        <w:t xml:space="preserve"> with all types of disabilities</w:t>
      </w:r>
      <w:r w:rsidR="005E4CBF" w:rsidRPr="00427BD7">
        <w:t xml:space="preserve"> across the country</w:t>
      </w:r>
      <w:r w:rsidRPr="00427BD7">
        <w:t xml:space="preserve">, </w:t>
      </w:r>
      <w:r w:rsidR="005732CE" w:rsidRPr="00427BD7">
        <w:t>progress</w:t>
      </w:r>
      <w:r w:rsidR="00D668C7" w:rsidRPr="00427BD7">
        <w:t xml:space="preserve"> toward community living</w:t>
      </w:r>
      <w:r w:rsidR="005732CE" w:rsidRPr="00427BD7">
        <w:t xml:space="preserve"> varies by </w:t>
      </w:r>
      <w:r w:rsidR="006B4F39" w:rsidRPr="00427BD7">
        <w:t xml:space="preserve">nursing home, </w:t>
      </w:r>
      <w:r w:rsidR="005732CE" w:rsidRPr="00427BD7">
        <w:t>age</w:t>
      </w:r>
      <w:r w:rsidR="00102655" w:rsidRPr="00427BD7">
        <w:t xml:space="preserve">, </w:t>
      </w:r>
      <w:r w:rsidR="00C374F0" w:rsidRPr="00427BD7">
        <w:t xml:space="preserve">type of disability </w:t>
      </w:r>
      <w:r w:rsidR="00102655" w:rsidRPr="00427BD7">
        <w:t>and state</w:t>
      </w:r>
      <w:r w:rsidR="006B4F39" w:rsidRPr="00427BD7">
        <w:t>.</w:t>
      </w:r>
    </w:p>
    <w:p w14:paraId="431BE973" w14:textId="3852634B" w:rsidR="009946C6" w:rsidRPr="00427BD7" w:rsidRDefault="00D15A0A" w:rsidP="009946C6">
      <w:pPr>
        <w:spacing w:line="240" w:lineRule="auto"/>
      </w:pPr>
      <w:r>
        <w:t>This issue</w:t>
      </w:r>
      <w:r w:rsidR="00EE3B60" w:rsidRPr="00427BD7">
        <w:t xml:space="preserve"> brief argues that many sta</w:t>
      </w:r>
      <w:r w:rsidR="009946C6" w:rsidRPr="00427BD7">
        <w:t xml:space="preserve">tes could be providing more </w:t>
      </w:r>
      <w:r w:rsidR="00C374F0" w:rsidRPr="00427BD7">
        <w:t>home and community-based services (</w:t>
      </w:r>
      <w:r w:rsidR="009946C6" w:rsidRPr="00427BD7">
        <w:t>HCBS</w:t>
      </w:r>
      <w:r w:rsidR="00C374F0" w:rsidRPr="00427BD7">
        <w:t>)</w:t>
      </w:r>
      <w:r w:rsidR="009946C6" w:rsidRPr="00427BD7">
        <w:t xml:space="preserve"> </w:t>
      </w:r>
      <w:r w:rsidR="00EE3B60" w:rsidRPr="00427BD7">
        <w:t>to older adults</w:t>
      </w:r>
      <w:r w:rsidR="00C374F0" w:rsidRPr="00427BD7">
        <w:t xml:space="preserve"> with disabilities</w:t>
      </w:r>
      <w:r w:rsidR="007822F2" w:rsidRPr="00427BD7">
        <w:t xml:space="preserve"> and</w:t>
      </w:r>
      <w:r w:rsidR="009946C6" w:rsidRPr="00427BD7">
        <w:t xml:space="preserve">: </w:t>
      </w:r>
    </w:p>
    <w:p w14:paraId="04B343D1" w14:textId="2F29A200" w:rsidR="003931E3" w:rsidRPr="00427BD7" w:rsidRDefault="003931E3" w:rsidP="009946C6">
      <w:pPr>
        <w:pStyle w:val="ListParagraph"/>
        <w:numPr>
          <w:ilvl w:val="0"/>
          <w:numId w:val="36"/>
        </w:numPr>
        <w:spacing w:line="240" w:lineRule="auto"/>
      </w:pPr>
      <w:r w:rsidRPr="00427BD7">
        <w:t>D</w:t>
      </w:r>
      <w:r w:rsidR="005E4CBF" w:rsidRPr="00427BD7">
        <w:t>ocument</w:t>
      </w:r>
      <w:r w:rsidR="007822F2" w:rsidRPr="00427BD7">
        <w:t>s</w:t>
      </w:r>
      <w:r w:rsidR="005732CE" w:rsidRPr="00427BD7">
        <w:t xml:space="preserve"> </w:t>
      </w:r>
      <w:r w:rsidRPr="00427BD7">
        <w:t>problems with</w:t>
      </w:r>
      <w:r w:rsidR="005E4CBF" w:rsidRPr="00427BD7">
        <w:t xml:space="preserve"> </w:t>
      </w:r>
      <w:r w:rsidR="00D50C36" w:rsidRPr="00427BD7">
        <w:t>nursing home residents</w:t>
      </w:r>
      <w:r w:rsidRPr="00427BD7">
        <w:t>’</w:t>
      </w:r>
      <w:r w:rsidR="00D50C36" w:rsidRPr="00427BD7">
        <w:t xml:space="preserve"> access to assistance in leaving their facilities</w:t>
      </w:r>
      <w:r w:rsidR="009006F0" w:rsidRPr="00427BD7">
        <w:t xml:space="preserve"> to live in their </w:t>
      </w:r>
      <w:r w:rsidR="00C374F0" w:rsidRPr="00427BD7">
        <w:t>communities</w:t>
      </w:r>
      <w:r w:rsidRPr="00427BD7">
        <w:t>.</w:t>
      </w:r>
    </w:p>
    <w:p w14:paraId="6B91DFC4" w14:textId="7AA074CB" w:rsidR="00B75AB3" w:rsidRPr="00427BD7" w:rsidRDefault="007822F2" w:rsidP="00B75AB3">
      <w:pPr>
        <w:pStyle w:val="ListParagraph"/>
        <w:numPr>
          <w:ilvl w:val="0"/>
          <w:numId w:val="36"/>
        </w:numPr>
        <w:spacing w:line="240" w:lineRule="auto"/>
      </w:pPr>
      <w:r w:rsidRPr="00427BD7">
        <w:t>Documents</w:t>
      </w:r>
      <w:r w:rsidR="003931E3" w:rsidRPr="00427BD7">
        <w:t xml:space="preserve"> differences in</w:t>
      </w:r>
      <w:r w:rsidR="008656C3" w:rsidRPr="00427BD7">
        <w:t xml:space="preserve"> Medicaid beneficiaries’ </w:t>
      </w:r>
      <w:r w:rsidR="00281224" w:rsidRPr="00427BD7">
        <w:t xml:space="preserve">receipt of </w:t>
      </w:r>
      <w:r w:rsidR="009006F0" w:rsidRPr="00427BD7">
        <w:t>LTSS</w:t>
      </w:r>
      <w:r w:rsidR="008149BA" w:rsidRPr="00427BD7">
        <w:t xml:space="preserve"> by age</w:t>
      </w:r>
      <w:r w:rsidR="005732CE" w:rsidRPr="00427BD7">
        <w:t xml:space="preserve"> </w:t>
      </w:r>
      <w:r w:rsidR="008149BA" w:rsidRPr="00427BD7">
        <w:t>and state</w:t>
      </w:r>
      <w:r w:rsidR="00912EA8" w:rsidRPr="00427BD7">
        <w:t>.</w:t>
      </w:r>
    </w:p>
    <w:p w14:paraId="6673E51A" w14:textId="61A448E4" w:rsidR="00B75AB3" w:rsidRPr="00427BD7" w:rsidRDefault="003931E3" w:rsidP="00EE3B60">
      <w:pPr>
        <w:pStyle w:val="ListParagraph"/>
        <w:numPr>
          <w:ilvl w:val="0"/>
          <w:numId w:val="36"/>
        </w:numPr>
        <w:spacing w:line="240" w:lineRule="auto"/>
      </w:pPr>
      <w:r w:rsidRPr="00427BD7">
        <w:t>O</w:t>
      </w:r>
      <w:r w:rsidR="007822F2" w:rsidRPr="00427BD7">
        <w:t>ffers</w:t>
      </w:r>
      <w:r w:rsidR="008D6372" w:rsidRPr="00427BD7">
        <w:t xml:space="preserve"> recommendations </w:t>
      </w:r>
      <w:r w:rsidRPr="00427BD7">
        <w:t>to</w:t>
      </w:r>
      <w:r w:rsidR="008D6372" w:rsidRPr="00427BD7">
        <w:t xml:space="preserve"> states </w:t>
      </w:r>
      <w:r w:rsidRPr="00427BD7">
        <w:t xml:space="preserve">for </w:t>
      </w:r>
      <w:r w:rsidR="0086071A" w:rsidRPr="00427BD7">
        <w:t>promoting</w:t>
      </w:r>
      <w:r w:rsidR="008656C3" w:rsidRPr="00427BD7">
        <w:t xml:space="preserve"> community </w:t>
      </w:r>
      <w:r w:rsidR="005E4CBF" w:rsidRPr="00427BD7">
        <w:t>living</w:t>
      </w:r>
      <w:r w:rsidR="00605DF4" w:rsidRPr="00427BD7">
        <w:t xml:space="preserve"> for older adults</w:t>
      </w:r>
      <w:r w:rsidR="00C374F0" w:rsidRPr="00427BD7">
        <w:t xml:space="preserve"> with disabilities</w:t>
      </w:r>
      <w:r w:rsidR="00B75AB3" w:rsidRPr="00427BD7">
        <w:t>.</w:t>
      </w:r>
    </w:p>
    <w:p w14:paraId="59CD49A8" w14:textId="7356C09C" w:rsidR="003931E3" w:rsidRPr="00427BD7" w:rsidRDefault="00124EF0" w:rsidP="00EE3B60">
      <w:pPr>
        <w:pStyle w:val="ListParagraph"/>
        <w:numPr>
          <w:ilvl w:val="0"/>
          <w:numId w:val="36"/>
        </w:numPr>
        <w:spacing w:line="240" w:lineRule="auto"/>
      </w:pPr>
      <w:r w:rsidRPr="00427BD7">
        <w:t xml:space="preserve">Documents the impact of </w:t>
      </w:r>
      <w:r w:rsidR="00605DF4" w:rsidRPr="00427BD7">
        <w:t xml:space="preserve">providing increased </w:t>
      </w:r>
      <w:r w:rsidR="00C374F0" w:rsidRPr="00427BD7">
        <w:t>HCBS</w:t>
      </w:r>
      <w:r w:rsidR="00605DF4" w:rsidRPr="00427BD7">
        <w:t xml:space="preserve"> to older adults</w:t>
      </w:r>
      <w:r w:rsidR="00C374F0" w:rsidRPr="00427BD7">
        <w:t xml:space="preserve"> with disabilities</w:t>
      </w:r>
      <w:r w:rsidR="00605DF4" w:rsidRPr="00427BD7">
        <w:t>.</w:t>
      </w:r>
    </w:p>
    <w:p w14:paraId="70898083" w14:textId="36250AD8" w:rsidR="003931E3" w:rsidRPr="00427BD7" w:rsidRDefault="00C374F0" w:rsidP="00EE3B60">
      <w:pPr>
        <w:pStyle w:val="ListParagraph"/>
        <w:numPr>
          <w:ilvl w:val="0"/>
          <w:numId w:val="36"/>
        </w:numPr>
        <w:spacing w:line="240" w:lineRule="auto"/>
      </w:pPr>
      <w:r w:rsidRPr="00427BD7">
        <w:t>Describes</w:t>
      </w:r>
      <w:r w:rsidR="00D668C7" w:rsidRPr="00427BD7">
        <w:t xml:space="preserve"> </w:t>
      </w:r>
      <w:r w:rsidR="005E4CBF" w:rsidRPr="00427BD7">
        <w:t>the special circumstances of</w:t>
      </w:r>
      <w:r w:rsidR="00D668C7" w:rsidRPr="00427BD7">
        <w:t xml:space="preserve"> </w:t>
      </w:r>
      <w:r w:rsidR="00D6241A" w:rsidRPr="00427BD7">
        <w:t xml:space="preserve">older adults </w:t>
      </w:r>
      <w:r w:rsidR="00D668C7" w:rsidRPr="00427BD7">
        <w:t>with dementia, who are</w:t>
      </w:r>
      <w:r w:rsidR="00D6241A" w:rsidRPr="00427BD7">
        <w:t xml:space="preserve"> a</w:t>
      </w:r>
      <w:r w:rsidR="0086071A" w:rsidRPr="00427BD7">
        <w:t xml:space="preserve">t high risk of </w:t>
      </w:r>
      <w:r w:rsidR="00D668C7" w:rsidRPr="00427BD7">
        <w:t>nur</w:t>
      </w:r>
      <w:r w:rsidR="0086071A" w:rsidRPr="00427BD7">
        <w:t>sing home use</w:t>
      </w:r>
      <w:r w:rsidR="00D668C7" w:rsidRPr="00427BD7">
        <w:t>.</w:t>
      </w:r>
      <w:r w:rsidR="00170EC7" w:rsidRPr="00427BD7">
        <w:t xml:space="preserve"> </w:t>
      </w:r>
      <w:r w:rsidR="008A2F11" w:rsidRPr="00427BD7">
        <w:t xml:space="preserve"> </w:t>
      </w:r>
    </w:p>
    <w:p w14:paraId="45707279" w14:textId="1CC897C4" w:rsidR="00C32736" w:rsidRPr="004C5E2B" w:rsidRDefault="004C5E2B" w:rsidP="004C5E2B">
      <w:pPr>
        <w:pStyle w:val="Heading1"/>
        <w:numPr>
          <w:ilvl w:val="0"/>
          <w:numId w:val="42"/>
        </w:numPr>
        <w:rPr>
          <w:rFonts w:ascii="Calibri" w:hAnsi="Calibri"/>
          <w:color w:val="auto"/>
          <w:sz w:val="22"/>
          <w:szCs w:val="22"/>
        </w:rPr>
      </w:pPr>
      <w:r w:rsidRPr="004C5E2B">
        <w:rPr>
          <w:rFonts w:ascii="Calibri" w:hAnsi="Calibri"/>
          <w:color w:val="auto"/>
          <w:sz w:val="22"/>
          <w:szCs w:val="22"/>
        </w:rPr>
        <w:t>N</w:t>
      </w:r>
      <w:r w:rsidR="00C32736" w:rsidRPr="004C5E2B">
        <w:rPr>
          <w:rFonts w:ascii="Calibri" w:hAnsi="Calibri"/>
          <w:color w:val="auto"/>
          <w:sz w:val="22"/>
          <w:szCs w:val="22"/>
        </w:rPr>
        <w:t>ursing Homes Residents’</w:t>
      </w:r>
      <w:r w:rsidR="006F1227" w:rsidRPr="004C5E2B">
        <w:rPr>
          <w:rFonts w:ascii="Calibri" w:hAnsi="Calibri"/>
          <w:color w:val="auto"/>
          <w:sz w:val="22"/>
          <w:szCs w:val="22"/>
        </w:rPr>
        <w:t xml:space="preserve"> Access to </w:t>
      </w:r>
      <w:r w:rsidR="008256A8" w:rsidRPr="004C5E2B">
        <w:rPr>
          <w:rFonts w:ascii="Calibri" w:hAnsi="Calibri"/>
          <w:color w:val="auto"/>
          <w:sz w:val="22"/>
          <w:szCs w:val="22"/>
        </w:rPr>
        <w:t>Assistance</w:t>
      </w:r>
    </w:p>
    <w:p w14:paraId="6BDA4060" w14:textId="710D1E60" w:rsidR="00BF1826" w:rsidRPr="00427BD7" w:rsidRDefault="00037803" w:rsidP="00BF1826">
      <w:pPr>
        <w:spacing w:line="240" w:lineRule="auto"/>
      </w:pPr>
      <w:r w:rsidRPr="00427BD7">
        <w:t>Nursing home re</w:t>
      </w:r>
      <w:r w:rsidR="007822F2" w:rsidRPr="00427BD7">
        <w:t>sidents, including older adults</w:t>
      </w:r>
      <w:r w:rsidRPr="00427BD7">
        <w:t xml:space="preserve"> </w:t>
      </w:r>
      <w:r w:rsidR="006F1227" w:rsidRPr="00427BD7">
        <w:t>who want</w:t>
      </w:r>
      <w:r w:rsidR="007C3F77" w:rsidRPr="00427BD7">
        <w:t xml:space="preserve"> to transition to their homes and communities</w:t>
      </w:r>
      <w:r w:rsidR="007822F2" w:rsidRPr="00427BD7">
        <w:t>,</w:t>
      </w:r>
      <w:r w:rsidR="00EE3B60" w:rsidRPr="00427BD7">
        <w:t xml:space="preserve"> sometimes</w:t>
      </w:r>
      <w:r w:rsidR="006F1227" w:rsidRPr="00427BD7">
        <w:t xml:space="preserve"> do not get the help they seek</w:t>
      </w:r>
      <w:r w:rsidR="0086071A" w:rsidRPr="00427BD7">
        <w:t>,</w:t>
      </w:r>
      <w:r w:rsidR="00B026C8" w:rsidRPr="00427BD7">
        <w:t xml:space="preserve"> according to the </w:t>
      </w:r>
      <w:r w:rsidR="00281224" w:rsidRPr="00427BD7">
        <w:t>U.S.</w:t>
      </w:r>
      <w:r w:rsidR="007C3F77" w:rsidRPr="00427BD7">
        <w:t xml:space="preserve"> </w:t>
      </w:r>
      <w:r w:rsidR="009C26C1" w:rsidRPr="00427BD7">
        <w:t xml:space="preserve">Department of Health and Human Services </w:t>
      </w:r>
      <w:r w:rsidR="00D04582" w:rsidRPr="00427BD7">
        <w:t>(Schell, 2016)</w:t>
      </w:r>
      <w:r w:rsidR="00B026C8" w:rsidRPr="00427BD7">
        <w:t xml:space="preserve">. </w:t>
      </w:r>
      <w:r w:rsidR="006F1227" w:rsidRPr="00427BD7">
        <w:t xml:space="preserve"> </w:t>
      </w:r>
      <w:r w:rsidR="00C32736" w:rsidRPr="00427BD7">
        <w:t xml:space="preserve">The </w:t>
      </w:r>
      <w:r w:rsidR="00B026C8" w:rsidRPr="00427BD7">
        <w:t>Department</w:t>
      </w:r>
      <w:r w:rsidR="007019D7" w:rsidRPr="00427BD7">
        <w:t>’s Office for Civil Rights</w:t>
      </w:r>
      <w:r w:rsidR="00C32736" w:rsidRPr="00427BD7">
        <w:t xml:space="preserve"> </w:t>
      </w:r>
      <w:r w:rsidR="00124EF0" w:rsidRPr="00427BD7">
        <w:t>examined data from the Minimum Data Set</w:t>
      </w:r>
      <w:r w:rsidR="00BF1826" w:rsidRPr="00427BD7">
        <w:t>’s</w:t>
      </w:r>
      <w:r w:rsidR="00BF1826" w:rsidRPr="00427BD7">
        <w:rPr>
          <w:rStyle w:val="FootnoteReference"/>
        </w:rPr>
        <w:footnoteReference w:id="4"/>
      </w:r>
      <w:r w:rsidR="00124EF0" w:rsidRPr="00427BD7">
        <w:t xml:space="preserve"> “Section Q,” </w:t>
      </w:r>
      <w:r w:rsidR="00BF1826" w:rsidRPr="00427BD7">
        <w:t>which enables individuals to express interest in learn</w:t>
      </w:r>
      <w:r w:rsidR="007852FB" w:rsidRPr="00427BD7">
        <w:t xml:space="preserve">ing more about opportunities to </w:t>
      </w:r>
      <w:r w:rsidR="007852FB" w:rsidRPr="00427BD7">
        <w:lastRenderedPageBreak/>
        <w:t>live</w:t>
      </w:r>
      <w:r w:rsidR="00BF1826" w:rsidRPr="00427BD7">
        <w:t xml:space="preserve"> outside of the nursing </w:t>
      </w:r>
      <w:r w:rsidR="007852FB" w:rsidRPr="00427BD7">
        <w:t>home</w:t>
      </w:r>
      <w:r w:rsidR="00BF1826" w:rsidRPr="00427BD7">
        <w:t>.  When a resident expresses this desire, n</w:t>
      </w:r>
      <w:r w:rsidR="007852FB" w:rsidRPr="00427BD7">
        <w:t>ursing homes</w:t>
      </w:r>
      <w:r w:rsidR="00BF1826" w:rsidRPr="00427BD7">
        <w:t xml:space="preserve"> are required to notify a state-designated “local contact agency.”  These agencies must then contact interested individuals by telephone or in person, and provide information/education about home and community-based options.</w:t>
      </w:r>
    </w:p>
    <w:p w14:paraId="7B3A29C7" w14:textId="3BAAAE3D" w:rsidR="00EE3B60" w:rsidRPr="00427BD7" w:rsidRDefault="00BF1826" w:rsidP="00BF1826">
      <w:pPr>
        <w:spacing w:line="240" w:lineRule="auto"/>
      </w:pPr>
      <w:r w:rsidRPr="00427BD7">
        <w:t>T</w:t>
      </w:r>
      <w:r w:rsidR="00124EF0" w:rsidRPr="00427BD7">
        <w:t xml:space="preserve">he Department </w:t>
      </w:r>
      <w:r w:rsidR="00C32736" w:rsidRPr="00427BD7">
        <w:t>found that</w:t>
      </w:r>
      <w:r w:rsidR="001A242B" w:rsidRPr="00427BD7">
        <w:t xml:space="preserve"> a</w:t>
      </w:r>
      <w:r w:rsidR="00C32736" w:rsidRPr="00427BD7">
        <w:t>t least 50,000 nursing home residents</w:t>
      </w:r>
      <w:r w:rsidR="001A242B" w:rsidRPr="00427BD7">
        <w:t xml:space="preserve"> from over 7000 nursing homes said they wanted to </w:t>
      </w:r>
      <w:r w:rsidR="00C32736" w:rsidRPr="00427BD7">
        <w:t>talk with someone about leaving their facility, but never received a</w:t>
      </w:r>
      <w:r w:rsidR="00D04582" w:rsidRPr="00427BD7">
        <w:t xml:space="preserve"> referral to a local </w:t>
      </w:r>
      <w:r w:rsidR="00C32736" w:rsidRPr="00427BD7">
        <w:t>agency</w:t>
      </w:r>
      <w:r w:rsidR="00D04582" w:rsidRPr="00427BD7">
        <w:t xml:space="preserve"> that could help them.  Among the reasons nursing homes cited for their lack of responsiveness were problems with knowing a local agency</w:t>
      </w:r>
      <w:r w:rsidR="00124EF0" w:rsidRPr="00427BD7">
        <w:t xml:space="preserve"> that could help </w:t>
      </w:r>
      <w:r w:rsidR="007C3F77" w:rsidRPr="00427BD7">
        <w:t>resident</w:t>
      </w:r>
      <w:r w:rsidR="00124EF0" w:rsidRPr="00427BD7">
        <w:t>s</w:t>
      </w:r>
      <w:r w:rsidR="007C3F77" w:rsidRPr="00427BD7">
        <w:t xml:space="preserve"> transition to their home</w:t>
      </w:r>
      <w:r w:rsidR="00124EF0" w:rsidRPr="00427BD7">
        <w:t>s or communities</w:t>
      </w:r>
      <w:r w:rsidR="00D04582" w:rsidRPr="00427BD7">
        <w:t>, family not wanting the resident to lea</w:t>
      </w:r>
      <w:r w:rsidR="00037803" w:rsidRPr="00427BD7">
        <w:t>ve, and the facility’s assertion</w:t>
      </w:r>
      <w:r w:rsidR="00D04582" w:rsidRPr="00427BD7">
        <w:t xml:space="preserve"> that the resident had too much disability to leave.  All of these reasons </w:t>
      </w:r>
      <w:r w:rsidR="007822F2" w:rsidRPr="00427BD7">
        <w:t xml:space="preserve">fail to directly </w:t>
      </w:r>
      <w:r w:rsidR="00EE3B60" w:rsidRPr="00427BD7">
        <w:t>consider</w:t>
      </w:r>
      <w:r w:rsidR="00037803" w:rsidRPr="00427BD7">
        <w:t xml:space="preserve"> the residents’ wishes. </w:t>
      </w:r>
      <w:r w:rsidR="00CC44F1" w:rsidRPr="00427BD7">
        <w:t xml:space="preserve"> </w:t>
      </w:r>
    </w:p>
    <w:p w14:paraId="28C2B685" w14:textId="224066C3" w:rsidR="00D04582" w:rsidRPr="00427BD7" w:rsidRDefault="007C675E" w:rsidP="00D04582">
      <w:pPr>
        <w:spacing w:line="240" w:lineRule="auto"/>
      </w:pPr>
      <w:r w:rsidRPr="00427BD7">
        <w:t xml:space="preserve">States have a role in ensuring that residents have access to information about transitioning from nursing homes.  For example, </w:t>
      </w:r>
      <w:r w:rsidR="00D212C2" w:rsidRPr="00427BD7">
        <w:t>states must</w:t>
      </w:r>
      <w:r w:rsidRPr="00427BD7">
        <w:t xml:space="preserve"> make available designated “local contact agencies” to provide information to individuals who live in nursing homes about returning to the community.  Depending on the state, “local contact agencies” may be Aging and Disability Resource Centers (ADRCs, or “No Wrong Door” Systems), area agencies on aging, long-term care ombudsman programs, centers for independent living, or other entiti</w:t>
      </w:r>
      <w:r w:rsidR="008339B5" w:rsidRPr="00427BD7">
        <w:t>es.  Each of these entities has the</w:t>
      </w:r>
      <w:r w:rsidRPr="00427BD7">
        <w:t xml:space="preserve"> expertise to educate individuals who liv</w:t>
      </w:r>
      <w:r w:rsidR="00D212C2" w:rsidRPr="00427BD7">
        <w:t>e or</w:t>
      </w:r>
      <w:r w:rsidRPr="00427BD7">
        <w:t xml:space="preserve"> work in nursing homes about HCBS option</w:t>
      </w:r>
      <w:r w:rsidR="00D212C2" w:rsidRPr="00427BD7">
        <w:t>s</w:t>
      </w:r>
      <w:r w:rsidRPr="00427BD7">
        <w:t xml:space="preserve">.  States can also provide HCBS that can help residents live in the community, if they are willing and able to do so. Family considerations, while important to know, do not obviate the need to ensure that residents’ wishes are heard and accommodated to the extent possible. </w:t>
      </w:r>
    </w:p>
    <w:p w14:paraId="4D0C2633" w14:textId="0CBB40B6" w:rsidR="008B372B" w:rsidRPr="00D0306F" w:rsidRDefault="000B4825" w:rsidP="004C5E2B">
      <w:pPr>
        <w:pStyle w:val="Heading1"/>
        <w:numPr>
          <w:ilvl w:val="0"/>
          <w:numId w:val="42"/>
        </w:numPr>
        <w:rPr>
          <w:rFonts w:ascii="Calibri" w:hAnsi="Calibri"/>
          <w:color w:val="auto"/>
          <w:sz w:val="22"/>
          <w:szCs w:val="22"/>
        </w:rPr>
      </w:pPr>
      <w:r w:rsidRPr="00D0306F">
        <w:rPr>
          <w:rFonts w:ascii="Calibri" w:hAnsi="Calibri"/>
          <w:color w:val="auto"/>
          <w:sz w:val="22"/>
          <w:szCs w:val="22"/>
        </w:rPr>
        <w:t xml:space="preserve">Variations in </w:t>
      </w:r>
      <w:r w:rsidR="008B372B" w:rsidRPr="00D0306F">
        <w:rPr>
          <w:rFonts w:ascii="Calibri" w:hAnsi="Calibri"/>
          <w:color w:val="auto"/>
          <w:sz w:val="22"/>
          <w:szCs w:val="22"/>
        </w:rPr>
        <w:t>Medicaid Spending on LTSS by Age</w:t>
      </w:r>
      <w:r w:rsidRPr="00D0306F">
        <w:rPr>
          <w:rFonts w:ascii="Calibri" w:hAnsi="Calibri"/>
          <w:color w:val="auto"/>
          <w:sz w:val="22"/>
          <w:szCs w:val="22"/>
        </w:rPr>
        <w:t xml:space="preserve"> and State</w:t>
      </w:r>
      <w:r w:rsidR="003A6057" w:rsidRPr="00D0306F">
        <w:rPr>
          <w:rFonts w:ascii="Calibri" w:hAnsi="Calibri"/>
          <w:color w:val="auto"/>
          <w:sz w:val="22"/>
          <w:szCs w:val="22"/>
        </w:rPr>
        <w:t xml:space="preserve"> </w:t>
      </w:r>
    </w:p>
    <w:p w14:paraId="6622538F" w14:textId="39035594" w:rsidR="00427BD7" w:rsidRDefault="00CD293F" w:rsidP="008B372B">
      <w:pPr>
        <w:spacing w:line="240" w:lineRule="auto"/>
      </w:pPr>
      <w:r w:rsidRPr="00427BD7">
        <w:t>State policy decisions have resulted in a</w:t>
      </w:r>
      <w:r w:rsidR="00D705B1" w:rsidRPr="00427BD7">
        <w:t xml:space="preserve"> </w:t>
      </w:r>
      <w:r w:rsidR="00D212C2" w:rsidRPr="00427BD7">
        <w:t xml:space="preserve">large </w:t>
      </w:r>
      <w:r w:rsidR="00D705B1" w:rsidRPr="00427BD7">
        <w:t xml:space="preserve">disparity </w:t>
      </w:r>
      <w:r w:rsidRPr="00427BD7">
        <w:t>in the Medicaid HCBS resour</w:t>
      </w:r>
      <w:r w:rsidR="007019D7" w:rsidRPr="00427BD7">
        <w:t>ces available</w:t>
      </w:r>
      <w:r w:rsidRPr="00427BD7">
        <w:t xml:space="preserve"> to older beneficiaries </w:t>
      </w:r>
      <w:r w:rsidR="00D736EB" w:rsidRPr="00427BD7">
        <w:t xml:space="preserve">versus </w:t>
      </w:r>
      <w:r w:rsidRPr="00427BD7">
        <w:t xml:space="preserve">those who are younger.   </w:t>
      </w:r>
      <w:r w:rsidR="000B4825" w:rsidRPr="00427BD7">
        <w:t>Nationally, o</w:t>
      </w:r>
      <w:r w:rsidR="008B372B" w:rsidRPr="00427BD7">
        <w:t>lder Medicaid beneficiaries</w:t>
      </w:r>
      <w:r w:rsidR="00CC44F1" w:rsidRPr="00427BD7">
        <w:t xml:space="preserve"> receiving LTSS are </w:t>
      </w:r>
      <w:r w:rsidR="00DB0F37" w:rsidRPr="00427BD7">
        <w:t xml:space="preserve">much </w:t>
      </w:r>
      <w:r w:rsidR="008B372B" w:rsidRPr="00427BD7">
        <w:t xml:space="preserve">more likely than </w:t>
      </w:r>
      <w:r w:rsidR="00CC44F1" w:rsidRPr="00427BD7">
        <w:t xml:space="preserve">younger </w:t>
      </w:r>
      <w:r w:rsidR="000B4825" w:rsidRPr="00427BD7">
        <w:t>ones</w:t>
      </w:r>
      <w:r w:rsidR="0056254A" w:rsidRPr="00427BD7">
        <w:t xml:space="preserve"> </w:t>
      </w:r>
      <w:r w:rsidR="001C1DE6" w:rsidRPr="00427BD7">
        <w:t xml:space="preserve">to live </w:t>
      </w:r>
      <w:r w:rsidR="008B372B" w:rsidRPr="00427BD7">
        <w:t>in institutions</w:t>
      </w:r>
      <w:r w:rsidR="000B4825" w:rsidRPr="00427BD7">
        <w:t xml:space="preserve">. </w:t>
      </w:r>
      <w:r w:rsidR="00D705B1" w:rsidRPr="00427BD7">
        <w:t>About h</w:t>
      </w:r>
      <w:r w:rsidR="008B372B" w:rsidRPr="00427BD7">
        <w:t>alf of the 1.9 million</w:t>
      </w:r>
      <w:r w:rsidR="00516CC6" w:rsidRPr="00427BD7">
        <w:t xml:space="preserve"> </w:t>
      </w:r>
      <w:r w:rsidR="007636C0" w:rsidRPr="00427BD7">
        <w:t>older</w:t>
      </w:r>
      <w:r w:rsidR="008A2F11" w:rsidRPr="00427BD7">
        <w:t xml:space="preserve"> </w:t>
      </w:r>
      <w:r w:rsidR="008B372B" w:rsidRPr="00427BD7">
        <w:t>Medicaid</w:t>
      </w:r>
      <w:r w:rsidR="008A2F11" w:rsidRPr="00427BD7">
        <w:t xml:space="preserve"> beneficiaries</w:t>
      </w:r>
      <w:r w:rsidR="00D736EB" w:rsidRPr="00427BD7">
        <w:t xml:space="preserve"> who received</w:t>
      </w:r>
      <w:r w:rsidR="008B372B" w:rsidRPr="00427BD7">
        <w:t xml:space="preserve"> LTSS in fiscal year 2011 lived predominantly in the community. </w:t>
      </w:r>
      <w:r w:rsidR="008A2F11" w:rsidRPr="00427BD7">
        <w:t xml:space="preserve"> </w:t>
      </w:r>
      <w:r w:rsidR="008B372B" w:rsidRPr="00427BD7">
        <w:t xml:space="preserve">In contrast, </w:t>
      </w:r>
      <w:r w:rsidR="008A2F11" w:rsidRPr="00427BD7">
        <w:t>8</w:t>
      </w:r>
      <w:r w:rsidR="0056254A" w:rsidRPr="00427BD7">
        <w:t>0</w:t>
      </w:r>
      <w:r w:rsidR="008B372B" w:rsidRPr="00427BD7">
        <w:t>% of the 1.7 million non-elderly beneficiaries did so</w:t>
      </w:r>
      <w:r w:rsidR="005C726D" w:rsidRPr="00427BD7">
        <w:t xml:space="preserve"> </w:t>
      </w:r>
      <w:r w:rsidR="008B372B" w:rsidRPr="00427BD7">
        <w:t>(Reaves</w:t>
      </w:r>
      <w:r w:rsidR="00FE5DEA" w:rsidRPr="00427BD7">
        <w:t xml:space="preserve"> and Musumeci,</w:t>
      </w:r>
      <w:r w:rsidR="008B372B" w:rsidRPr="00427BD7">
        <w:t xml:space="preserve"> 2015)</w:t>
      </w:r>
      <w:r w:rsidR="005C726D" w:rsidRPr="00427BD7">
        <w:t>.</w:t>
      </w:r>
      <w:r w:rsidR="008B372B" w:rsidRPr="00427BD7">
        <w:t xml:space="preserve"> </w:t>
      </w:r>
      <w:r w:rsidR="008A2F11" w:rsidRPr="00427BD7">
        <w:t xml:space="preserve"> </w:t>
      </w:r>
      <w:r w:rsidR="008B372B" w:rsidRPr="00427BD7">
        <w:t xml:space="preserve">Figure 1 </w:t>
      </w:r>
      <w:r w:rsidR="00516CC6" w:rsidRPr="00427BD7">
        <w:t xml:space="preserve">provides details about </w:t>
      </w:r>
      <w:r w:rsidR="008B372B" w:rsidRPr="00427BD7">
        <w:t>the settings in which Medicaid LTSS benefi</w:t>
      </w:r>
      <w:r w:rsidR="00516CC6" w:rsidRPr="00427BD7">
        <w:t>ciaries received services</w:t>
      </w:r>
      <w:r w:rsidR="008B372B" w:rsidRPr="00427BD7">
        <w:t xml:space="preserve"> in 2011</w:t>
      </w:r>
      <w:r w:rsidR="000F1806" w:rsidRPr="00427BD7">
        <w:t xml:space="preserve"> by age</w:t>
      </w:r>
      <w:r w:rsidR="005C726D" w:rsidRPr="00427BD7">
        <w:t xml:space="preserve"> </w:t>
      </w:r>
      <w:r w:rsidR="00FE5DEA" w:rsidRPr="00427BD7">
        <w:t>(Eiken</w:t>
      </w:r>
      <w:r w:rsidR="00427BD7">
        <w:t xml:space="preserve"> et al.</w:t>
      </w:r>
      <w:r w:rsidR="00FE5DEA" w:rsidRPr="00427BD7">
        <w:t xml:space="preserve">, September </w:t>
      </w:r>
      <w:r w:rsidR="008B372B" w:rsidRPr="00427BD7">
        <w:t>2015)</w:t>
      </w:r>
      <w:r w:rsidR="005C726D" w:rsidRPr="00427BD7">
        <w:t>.</w:t>
      </w:r>
      <w:r w:rsidR="006A7BD9" w:rsidRPr="00427BD7">
        <w:t xml:space="preserve"> Figure 2 shows the large</w:t>
      </w:r>
      <w:r w:rsidR="00D705B1" w:rsidRPr="00427BD7">
        <w:t xml:space="preserve"> state</w:t>
      </w:r>
      <w:r w:rsidR="006A7BD9" w:rsidRPr="00427BD7">
        <w:t xml:space="preserve"> variation in </w:t>
      </w:r>
      <w:r w:rsidR="00D705B1" w:rsidRPr="00427BD7">
        <w:t xml:space="preserve">the percentage of adults receiving Medicaid LTSS who lived only in institutions in 2011.  The percentage of adults aged 65 and over receiving Medicaid LTSS in institutions ranged from 12% to 93.9%.  Whereas the range for those aged 21-64 was 2.6% to 41.5% (Eiken </w:t>
      </w:r>
      <w:r w:rsidR="00427BD7">
        <w:t>et al.,</w:t>
      </w:r>
      <w:r w:rsidR="00D705B1" w:rsidRPr="00427BD7">
        <w:t xml:space="preserve"> September 2015).</w:t>
      </w:r>
      <w:r w:rsidR="00F14DC5" w:rsidRPr="00427BD7">
        <w:t xml:space="preserve">  Most states institutionalized older adults at a rate 2 to 4 times higher than they institutionalized younger adults.  The range was 1.7 – 14.3 in 2011.</w:t>
      </w:r>
      <w:r w:rsidR="00C91DDF" w:rsidRPr="00427BD7">
        <w:rPr>
          <w:rStyle w:val="FootnoteReference"/>
        </w:rPr>
        <w:footnoteReference w:id="5"/>
      </w:r>
      <w:r w:rsidR="00F14DC5" w:rsidRPr="00427BD7">
        <w:t xml:space="preserve"> </w:t>
      </w:r>
      <w:r w:rsidR="00D705B1" w:rsidRPr="00427BD7">
        <w:t xml:space="preserve"> </w:t>
      </w:r>
      <w:r w:rsidR="00C34B18" w:rsidRPr="00427BD7">
        <w:t>S</w:t>
      </w:r>
      <w:r w:rsidR="00BA43AA" w:rsidRPr="00427BD7">
        <w:t xml:space="preserve">tates </w:t>
      </w:r>
      <w:r w:rsidR="007019D7" w:rsidRPr="00427BD7">
        <w:t xml:space="preserve">can address these disparities </w:t>
      </w:r>
      <w:r w:rsidR="00C34B18" w:rsidRPr="00427BD7">
        <w:t xml:space="preserve">by </w:t>
      </w:r>
      <w:r w:rsidR="00BA43AA" w:rsidRPr="00427BD7">
        <w:t>expand</w:t>
      </w:r>
      <w:r w:rsidR="00C34B18" w:rsidRPr="00427BD7">
        <w:t>ing</w:t>
      </w:r>
      <w:r w:rsidR="00BA43AA" w:rsidRPr="00427BD7">
        <w:t xml:space="preserve"> the HCBS av</w:t>
      </w:r>
      <w:r w:rsidR="00C34B18" w:rsidRPr="00427BD7">
        <w:t xml:space="preserve">ailable to older </w:t>
      </w:r>
      <w:r w:rsidR="00D736EB" w:rsidRPr="00427BD7">
        <w:t xml:space="preserve">Medicaid </w:t>
      </w:r>
      <w:r w:rsidR="00BA43AA" w:rsidRPr="00427BD7">
        <w:t>beneficiaries</w:t>
      </w:r>
      <w:r w:rsidRPr="00427BD7">
        <w:t xml:space="preserve"> </w:t>
      </w:r>
      <w:r w:rsidR="00D736EB" w:rsidRPr="00427BD7">
        <w:t>who receive LTSS</w:t>
      </w:r>
      <w:r w:rsidR="00BA43AA" w:rsidRPr="00427BD7">
        <w:t xml:space="preserve">. </w:t>
      </w:r>
    </w:p>
    <w:p w14:paraId="56B989C8" w14:textId="77777777" w:rsidR="00427BD7" w:rsidRDefault="00427BD7">
      <w:r>
        <w:br w:type="page"/>
      </w:r>
    </w:p>
    <w:p w14:paraId="4DEC7768" w14:textId="0B6EF4C2" w:rsidR="008B372B" w:rsidRPr="002242C1" w:rsidRDefault="00A73B25" w:rsidP="008B372B">
      <w:pPr>
        <w:spacing w:line="240" w:lineRule="auto"/>
        <w:rPr>
          <w:b/>
          <w:sz w:val="24"/>
          <w:szCs w:val="24"/>
        </w:rPr>
      </w:pPr>
      <w:r w:rsidRPr="002242C1">
        <w:rPr>
          <w:b/>
          <w:sz w:val="24"/>
          <w:szCs w:val="24"/>
        </w:rPr>
        <w:lastRenderedPageBreak/>
        <w:t>F</w:t>
      </w:r>
      <w:r w:rsidR="008B372B" w:rsidRPr="002242C1">
        <w:rPr>
          <w:b/>
          <w:sz w:val="24"/>
          <w:szCs w:val="24"/>
        </w:rPr>
        <w:t xml:space="preserve">igure 1: Percentage of Medicaid LTSS Beneficiaries who Received HCBS by Age Group, 2011 </w:t>
      </w:r>
    </w:p>
    <w:p w14:paraId="03AD9E30" w14:textId="77777777" w:rsidR="00BA69F5" w:rsidRPr="00427BD7" w:rsidRDefault="008B372B" w:rsidP="00CC2E0F">
      <w:pPr>
        <w:spacing w:line="240" w:lineRule="auto"/>
      </w:pPr>
      <w:r w:rsidRPr="00427BD7">
        <w:rPr>
          <w:noProof/>
        </w:rPr>
        <w:drawing>
          <wp:inline distT="0" distB="0" distL="0" distR="0" wp14:anchorId="1D860922" wp14:editId="592C207E">
            <wp:extent cx="5974715" cy="4237355"/>
            <wp:effectExtent l="0" t="0" r="6985" b="0"/>
            <wp:docPr id="2" name="Picture 2" title="Percentage of Medicaid LTSS Beneficiaries who Received HCBS by Age Group,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715" cy="4237355"/>
                    </a:xfrm>
                    <a:prstGeom prst="rect">
                      <a:avLst/>
                    </a:prstGeom>
                    <a:noFill/>
                  </pic:spPr>
                </pic:pic>
              </a:graphicData>
            </a:graphic>
          </wp:inline>
        </w:drawing>
      </w:r>
    </w:p>
    <w:p w14:paraId="2F680C78" w14:textId="13EE4AD2" w:rsidR="00CC44F1" w:rsidRPr="00427BD7" w:rsidRDefault="00CC44F1" w:rsidP="00CC2E0F">
      <w:pPr>
        <w:spacing w:line="240" w:lineRule="auto"/>
      </w:pPr>
      <w:r w:rsidRPr="00427BD7">
        <w:t xml:space="preserve">Source: Eiken </w:t>
      </w:r>
      <w:r w:rsidR="00427BD7">
        <w:t>et al.,</w:t>
      </w:r>
      <w:r w:rsidRPr="00427BD7">
        <w:t xml:space="preserve"> September 2015</w:t>
      </w:r>
    </w:p>
    <w:p w14:paraId="4F9427FA" w14:textId="12459DCA" w:rsidR="008838FB" w:rsidRPr="00427BD7" w:rsidRDefault="003F7685" w:rsidP="008B29D0">
      <w:pPr>
        <w:spacing w:line="240" w:lineRule="auto"/>
      </w:pPr>
      <w:r w:rsidRPr="00427BD7">
        <w:t>In fiscal year (FY) 2014, over half (53%)</w:t>
      </w:r>
      <w:r w:rsidR="000F1806" w:rsidRPr="00427BD7">
        <w:t xml:space="preserve"> of</w:t>
      </w:r>
      <w:r w:rsidR="00BA69F5" w:rsidRPr="00427BD7">
        <w:t xml:space="preserve"> national </w:t>
      </w:r>
      <w:r w:rsidR="008A2F11" w:rsidRPr="00427BD7">
        <w:t>Medicaid LTSS spending</w:t>
      </w:r>
      <w:r w:rsidR="003C40A2" w:rsidRPr="00427BD7">
        <w:t xml:space="preserve"> went for</w:t>
      </w:r>
      <w:r w:rsidR="005C726D" w:rsidRPr="00427BD7">
        <w:t xml:space="preserve"> </w:t>
      </w:r>
      <w:r w:rsidR="008D61D6" w:rsidRPr="00427BD7">
        <w:t xml:space="preserve">HCBS, </w:t>
      </w:r>
      <w:r w:rsidR="008A2F11" w:rsidRPr="00427BD7">
        <w:t xml:space="preserve">with the </w:t>
      </w:r>
      <w:r w:rsidR="003C40A2" w:rsidRPr="00427BD7">
        <w:t>rest</w:t>
      </w:r>
      <w:r w:rsidR="007636C0" w:rsidRPr="00427BD7">
        <w:t xml:space="preserve"> going to</w:t>
      </w:r>
      <w:r w:rsidR="008B29D0" w:rsidRPr="00427BD7">
        <w:t xml:space="preserve"> institutions</w:t>
      </w:r>
      <w:r w:rsidR="00AE639F" w:rsidRPr="00427BD7">
        <w:t xml:space="preserve"> </w:t>
      </w:r>
      <w:r w:rsidR="002C51EB" w:rsidRPr="00427BD7">
        <w:t xml:space="preserve">(Eiken </w:t>
      </w:r>
      <w:r w:rsidR="00427BD7">
        <w:t>et al.,</w:t>
      </w:r>
      <w:r w:rsidR="002C51EB" w:rsidRPr="00427BD7">
        <w:t xml:space="preserve"> April 2016</w:t>
      </w:r>
      <w:r w:rsidR="00AE639F" w:rsidRPr="00427BD7">
        <w:t>)</w:t>
      </w:r>
      <w:r w:rsidR="00BA69F5" w:rsidRPr="00427BD7">
        <w:t xml:space="preserve">. </w:t>
      </w:r>
      <w:r w:rsidR="008A2F11" w:rsidRPr="00427BD7">
        <w:t xml:space="preserve"> </w:t>
      </w:r>
      <w:r w:rsidR="00BA69F5" w:rsidRPr="00427BD7">
        <w:t>The</w:t>
      </w:r>
      <w:r w:rsidR="008A2F11" w:rsidRPr="00427BD7">
        <w:t>se</w:t>
      </w:r>
      <w:r w:rsidR="00BA69F5" w:rsidRPr="00427BD7">
        <w:t xml:space="preserve"> proportions vary </w:t>
      </w:r>
      <w:r w:rsidR="00F0251B" w:rsidRPr="00427BD7">
        <w:t>markedly</w:t>
      </w:r>
      <w:r w:rsidR="00BA69F5" w:rsidRPr="00427BD7">
        <w:t xml:space="preserve"> by state. </w:t>
      </w:r>
      <w:r w:rsidR="00CC2E0F" w:rsidRPr="00427BD7">
        <w:t xml:space="preserve"> </w:t>
      </w:r>
      <w:r w:rsidR="003C40A2" w:rsidRPr="00427BD7">
        <w:t>In FY 2014, 3</w:t>
      </w:r>
      <w:r w:rsidR="00F0251B" w:rsidRPr="00427BD7">
        <w:t xml:space="preserve"> states devoted </w:t>
      </w:r>
      <w:r w:rsidR="003C40A2" w:rsidRPr="00427BD7">
        <w:t>1/3 or less</w:t>
      </w:r>
      <w:r w:rsidR="00F0251B" w:rsidRPr="00427BD7">
        <w:t xml:space="preserve"> of their Medicaid LTSS spending to HCBS.</w:t>
      </w:r>
      <w:r w:rsidR="003C40A2" w:rsidRPr="00427BD7">
        <w:t xml:space="preserve">  In contrast, 6 states</w:t>
      </w:r>
      <w:r w:rsidR="00F0251B" w:rsidRPr="00427BD7">
        <w:t xml:space="preserve"> devoted at leas</w:t>
      </w:r>
      <w:r w:rsidR="00D30E0B" w:rsidRPr="00427BD7">
        <w:t xml:space="preserve">t </w:t>
      </w:r>
      <w:r w:rsidR="003C40A2" w:rsidRPr="00427BD7">
        <w:t xml:space="preserve">2/3 </w:t>
      </w:r>
      <w:r w:rsidR="00D30E0B" w:rsidRPr="00427BD7">
        <w:t xml:space="preserve">of their spending to HCBS </w:t>
      </w:r>
      <w:r w:rsidR="00427BD7">
        <w:t>(Eiken et al.,</w:t>
      </w:r>
      <w:r w:rsidR="003C40A2" w:rsidRPr="00427BD7">
        <w:t xml:space="preserve"> April 2016)</w:t>
      </w:r>
      <w:r w:rsidR="00F35107" w:rsidRPr="00427BD7">
        <w:t>.</w:t>
      </w:r>
      <w:r w:rsidR="009A583E" w:rsidRPr="00427BD7">
        <w:t xml:space="preserve">  </w:t>
      </w:r>
      <w:r w:rsidR="00E91099" w:rsidRPr="00427BD7">
        <w:t xml:space="preserve">Most states have potential </w:t>
      </w:r>
      <w:r w:rsidR="00E77FEB" w:rsidRPr="00427BD7">
        <w:t xml:space="preserve">to increase </w:t>
      </w:r>
      <w:r w:rsidR="008838FB" w:rsidRPr="00427BD7">
        <w:t>the proportion of</w:t>
      </w:r>
      <w:r w:rsidR="00E91099" w:rsidRPr="00427BD7">
        <w:t xml:space="preserve"> their Medicaid</w:t>
      </w:r>
      <w:r w:rsidR="008838FB" w:rsidRPr="00427BD7">
        <w:t xml:space="preserve"> LTSS spending devoted</w:t>
      </w:r>
      <w:r w:rsidR="00150ECA" w:rsidRPr="00427BD7">
        <w:t xml:space="preserve"> to</w:t>
      </w:r>
      <w:r w:rsidR="008838FB" w:rsidRPr="00427BD7">
        <w:t xml:space="preserve"> </w:t>
      </w:r>
      <w:r w:rsidR="00E77FEB" w:rsidRPr="00427BD7">
        <w:t>HCBS</w:t>
      </w:r>
      <w:r w:rsidR="008838FB" w:rsidRPr="00427BD7">
        <w:t xml:space="preserve">. </w:t>
      </w:r>
      <w:r w:rsidR="00E91099" w:rsidRPr="00427BD7">
        <w:t xml:space="preserve"> </w:t>
      </w:r>
    </w:p>
    <w:p w14:paraId="43EF7C08" w14:textId="2724AF8E" w:rsidR="00FE1E8A" w:rsidRPr="00427BD7" w:rsidRDefault="008838FB" w:rsidP="00FE1E8A">
      <w:pPr>
        <w:spacing w:line="240" w:lineRule="auto"/>
      </w:pPr>
      <w:r w:rsidRPr="00427BD7">
        <w:t>Expanding HCBS for older adults is particularly advantageous to states because their</w:t>
      </w:r>
      <w:r w:rsidR="009A583E" w:rsidRPr="00427BD7">
        <w:t xml:space="preserve"> </w:t>
      </w:r>
      <w:r w:rsidR="00BF1826" w:rsidRPr="00427BD7">
        <w:t xml:space="preserve">per capita </w:t>
      </w:r>
      <w:r w:rsidR="009A583E" w:rsidRPr="00427BD7">
        <w:t>HCBS</w:t>
      </w:r>
      <w:r w:rsidRPr="00427BD7">
        <w:t xml:space="preserve"> costs are lower than those of other Medicaid beneficiaries.  Older </w:t>
      </w:r>
      <w:r w:rsidR="00150ECA" w:rsidRPr="00427BD7">
        <w:t>Medicaid beneficiaries’ HCBS</w:t>
      </w:r>
      <w:r w:rsidRPr="00427BD7">
        <w:t xml:space="preserve"> cos</w:t>
      </w:r>
      <w:r w:rsidR="00150ECA" w:rsidRPr="00427BD7">
        <w:t>t 37.4% less on average</w:t>
      </w:r>
      <w:r w:rsidRPr="00427BD7">
        <w:t xml:space="preserve"> than o</w:t>
      </w:r>
      <w:r w:rsidR="00150ECA" w:rsidRPr="00427BD7">
        <w:t>ther adults</w:t>
      </w:r>
      <w:r w:rsidRPr="00427BD7">
        <w:t>.  In FY 2012, Medicaid benefit spending per “full-year equivalent enrollee” was</w:t>
      </w:r>
      <w:r w:rsidR="00426313" w:rsidRPr="00427BD7">
        <w:t xml:space="preserve"> $2590 for “aged” beneficiaries who received HCBS, compared to</w:t>
      </w:r>
      <w:r w:rsidRPr="00427BD7">
        <w:t xml:space="preserve"> $4135 for “disabled” beneficiaries under age 65</w:t>
      </w:r>
      <w:r w:rsidR="00426313" w:rsidRPr="00427BD7">
        <w:t xml:space="preserve"> </w:t>
      </w:r>
      <w:r w:rsidRPr="00427BD7">
        <w:t xml:space="preserve"> (MACPAC, 2015).  </w:t>
      </w:r>
      <w:r w:rsidR="009A583E" w:rsidRPr="00427BD7">
        <w:t>The disparity</w:t>
      </w:r>
      <w:r w:rsidR="00E0645C" w:rsidRPr="00427BD7">
        <w:t xml:space="preserve"> that</w:t>
      </w:r>
      <w:r w:rsidR="004B3498" w:rsidRPr="00427BD7">
        <w:t xml:space="preserve"> older</w:t>
      </w:r>
      <w:r w:rsidR="00F0251B" w:rsidRPr="00427BD7">
        <w:t xml:space="preserve"> Medicaid beneficiaries</w:t>
      </w:r>
      <w:r w:rsidR="004B3498" w:rsidRPr="00427BD7">
        <w:t xml:space="preserve"> experience related to</w:t>
      </w:r>
      <w:r w:rsidR="00E0645C" w:rsidRPr="00427BD7">
        <w:t xml:space="preserve"> </w:t>
      </w:r>
      <w:r w:rsidR="00D2333F" w:rsidRPr="00427BD7">
        <w:t>receiving HCBS persists</w:t>
      </w:r>
      <w:r w:rsidR="00E0645C" w:rsidRPr="00427BD7">
        <w:t>, despite the fact that older adults are</w:t>
      </w:r>
      <w:r w:rsidR="009A583E" w:rsidRPr="00427BD7">
        <w:t xml:space="preserve"> among</w:t>
      </w:r>
      <w:r w:rsidR="00E0645C" w:rsidRPr="00427BD7">
        <w:t xml:space="preserve"> the least costly Medicaid HCBS beneficiaries. </w:t>
      </w:r>
      <w:r w:rsidR="00C44F33" w:rsidRPr="00427BD7">
        <w:t xml:space="preserve"> </w:t>
      </w:r>
    </w:p>
    <w:p w14:paraId="207E10B6" w14:textId="77777777" w:rsidR="00FF4B72" w:rsidRPr="00427BD7" w:rsidRDefault="006A7BD9">
      <w:r w:rsidRPr="00427BD7">
        <w:rPr>
          <w:noProof/>
        </w:rPr>
        <w:lastRenderedPageBreak/>
        <w:drawing>
          <wp:inline distT="0" distB="0" distL="0" distR="0" wp14:anchorId="62132E10" wp14:editId="730417C3">
            <wp:extent cx="5943600" cy="6443932"/>
            <wp:effectExtent l="0" t="0" r="19050" b="14605"/>
            <wp:docPr id="1" name="Chart 1" title="Percentage of Adults Receiving Any Type of Medicaid LTSS who Lived only in Institutions, by Age and State, 20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2F30B2" w14:textId="77777777" w:rsidR="00E141F2" w:rsidRPr="00427BD7" w:rsidRDefault="00FF4B72" w:rsidP="00E141F2">
      <w:pPr>
        <w:autoSpaceDE w:val="0"/>
        <w:autoSpaceDN w:val="0"/>
        <w:adjustRightInd w:val="0"/>
        <w:spacing w:after="0" w:line="240" w:lineRule="auto"/>
        <w:rPr>
          <w:rFonts w:cs="Arial"/>
          <w:color w:val="000000"/>
        </w:rPr>
      </w:pPr>
      <w:r w:rsidRPr="00427BD7">
        <w:rPr>
          <w:rFonts w:cs="Arial"/>
          <w:color w:val="000000"/>
        </w:rPr>
        <w:t>Data Source: Medicaid Analytic eXtract (MAX) Data do not include LTSS beneficiaries enrolled in comprehensive managed care plans. Data do not include Arizona, Colorado, the District of Columbia, Hawaii, Kansas, Idaho, Maine, Massachusetts, Ohio, Texas, and Wisconsin because MAX does not include 2011 data for these states.</w:t>
      </w:r>
      <w:r w:rsidR="00E141F2" w:rsidRPr="00427BD7">
        <w:rPr>
          <w:rFonts w:cs="Arial"/>
          <w:color w:val="000000"/>
        </w:rPr>
        <w:t xml:space="preserve"> </w:t>
      </w:r>
      <w:r w:rsidR="007019D7" w:rsidRPr="00427BD7">
        <w:rPr>
          <w:rFonts w:cs="Arial"/>
          <w:color w:val="000000"/>
        </w:rPr>
        <w:t>Please see Appendix A</w:t>
      </w:r>
      <w:r w:rsidR="00E141F2" w:rsidRPr="00427BD7">
        <w:rPr>
          <w:rFonts w:cs="Arial"/>
          <w:color w:val="000000"/>
        </w:rPr>
        <w:t xml:space="preserve"> for data t</w:t>
      </w:r>
      <w:r w:rsidR="00031E6D" w:rsidRPr="00427BD7">
        <w:rPr>
          <w:rFonts w:cs="Arial"/>
          <w:color w:val="000000"/>
        </w:rPr>
        <w:t>able</w:t>
      </w:r>
      <w:r w:rsidR="00E141F2" w:rsidRPr="00427BD7">
        <w:rPr>
          <w:rFonts w:cs="Arial"/>
          <w:color w:val="000000"/>
        </w:rPr>
        <w:t>.</w:t>
      </w:r>
    </w:p>
    <w:p w14:paraId="7C06C87E" w14:textId="6E6BFE71" w:rsidR="00E141F2" w:rsidRPr="00427BD7" w:rsidRDefault="00031E6D" w:rsidP="00E141F2">
      <w:pPr>
        <w:autoSpaceDE w:val="0"/>
        <w:autoSpaceDN w:val="0"/>
        <w:adjustRightInd w:val="0"/>
        <w:spacing w:after="0" w:line="240" w:lineRule="auto"/>
        <w:rPr>
          <w:rFonts w:cs="Arial"/>
          <w:color w:val="000000"/>
        </w:rPr>
      </w:pPr>
      <w:r w:rsidRPr="00427BD7">
        <w:rPr>
          <w:rFonts w:cs="Arial"/>
          <w:color w:val="000000"/>
        </w:rPr>
        <w:t xml:space="preserve"> </w:t>
      </w:r>
    </w:p>
    <w:p w14:paraId="620DD0B7" w14:textId="5713ECA1" w:rsidR="00FF4B72" w:rsidRPr="00427BD7" w:rsidRDefault="00FF4B72" w:rsidP="00E141F2">
      <w:pPr>
        <w:autoSpaceDE w:val="0"/>
        <w:autoSpaceDN w:val="0"/>
        <w:adjustRightInd w:val="0"/>
        <w:spacing w:after="0" w:line="240" w:lineRule="auto"/>
        <w:rPr>
          <w:rFonts w:cs="Arial"/>
          <w:color w:val="000000"/>
        </w:rPr>
      </w:pPr>
      <w:r w:rsidRPr="00427BD7">
        <w:t xml:space="preserve">Source: Eiken </w:t>
      </w:r>
      <w:r w:rsidR="00427BD7">
        <w:t>et al.,</w:t>
      </w:r>
      <w:r w:rsidRPr="00427BD7">
        <w:t xml:space="preserve"> September 2015</w:t>
      </w:r>
    </w:p>
    <w:p w14:paraId="551B4FC0" w14:textId="1F53C733" w:rsidR="006A7BD9" w:rsidRPr="00427BD7" w:rsidRDefault="006A7BD9">
      <w:r w:rsidRPr="00427BD7">
        <w:br w:type="page"/>
      </w:r>
    </w:p>
    <w:p w14:paraId="5602ABDD" w14:textId="2065F6BD" w:rsidR="00912EA8" w:rsidRPr="00427BD7" w:rsidRDefault="00912EA8" w:rsidP="00912EA8">
      <w:pPr>
        <w:spacing w:line="240" w:lineRule="auto"/>
      </w:pPr>
      <w:r w:rsidRPr="00427BD7">
        <w:lastRenderedPageBreak/>
        <w:t xml:space="preserve">Many states have made substantial progress in providing </w:t>
      </w:r>
      <w:r w:rsidR="00D2333F" w:rsidRPr="00427BD7">
        <w:t>HCBS</w:t>
      </w:r>
      <w:r w:rsidRPr="00427BD7">
        <w:t xml:space="preserve"> to their Medicaid beneficiaries </w:t>
      </w:r>
      <w:r w:rsidR="00150ECA" w:rsidRPr="00427BD7">
        <w:t>who receive LTSS</w:t>
      </w:r>
      <w:r w:rsidRPr="00427BD7">
        <w:t xml:space="preserve">. </w:t>
      </w:r>
      <w:r w:rsidR="00150ECA" w:rsidRPr="00427BD7">
        <w:t xml:space="preserve"> </w:t>
      </w:r>
      <w:r w:rsidR="00E55262" w:rsidRPr="00427BD7">
        <w:t xml:space="preserve">However, most </w:t>
      </w:r>
      <w:r w:rsidRPr="00427BD7">
        <w:t>other states have pote</w:t>
      </w:r>
      <w:r w:rsidR="00E55262" w:rsidRPr="00427BD7">
        <w:t>ntial to increase HCBS</w:t>
      </w:r>
      <w:r w:rsidRPr="00427BD7">
        <w:t xml:space="preserve"> and likely reduce the proportion of </w:t>
      </w:r>
      <w:r w:rsidR="009A583E" w:rsidRPr="00427BD7">
        <w:t xml:space="preserve">nursing home </w:t>
      </w:r>
      <w:r w:rsidRPr="00427BD7">
        <w:t>residents who</w:t>
      </w:r>
      <w:r w:rsidR="00D2333F" w:rsidRPr="00427BD7">
        <w:t xml:space="preserve"> have relatively low care needs</w:t>
      </w:r>
      <w:r w:rsidRPr="00427BD7">
        <w:t xml:space="preserve">.  </w:t>
      </w:r>
      <w:r w:rsidR="009A583E" w:rsidRPr="00427BD7">
        <w:t>Centers for Medicare &amp; Medicaid Services’ (</w:t>
      </w:r>
      <w:r w:rsidRPr="00427BD7">
        <w:t>CMS</w:t>
      </w:r>
      <w:r w:rsidR="009A583E" w:rsidRPr="00427BD7">
        <w:t>)</w:t>
      </w:r>
      <w:r w:rsidRPr="00427BD7">
        <w:t xml:space="preserve"> data from 2014 demonstrate marked variation in the proportion of people with low care needs by state.  In 9 states, the percentage of nursing home residents with no </w:t>
      </w:r>
      <w:r w:rsidR="001607E7" w:rsidRPr="00427BD7">
        <w:t>limitations in activities of daily living (ADLs)</w:t>
      </w:r>
      <w:r w:rsidRPr="00427BD7">
        <w:t xml:space="preserve"> </w:t>
      </w:r>
      <w:r w:rsidRPr="00427BD7">
        <w:rPr>
          <w:u w:val="single"/>
        </w:rPr>
        <w:t>and</w:t>
      </w:r>
      <w:r w:rsidRPr="00427BD7">
        <w:t xml:space="preserve"> mild or no cognitive impairment ranged from 3.5-8.4%.  In 10 states the percentage ranged from 13.8-21.4%.  (CMS, 2015)  </w:t>
      </w:r>
    </w:p>
    <w:p w14:paraId="47E04189" w14:textId="20169D10" w:rsidR="00BC1F91" w:rsidRPr="00427BD7" w:rsidRDefault="00BC1F91" w:rsidP="00BC1F91">
      <w:pPr>
        <w:spacing w:line="240" w:lineRule="auto"/>
      </w:pPr>
      <w:r w:rsidRPr="00427BD7">
        <w:t xml:space="preserve">States have many options for increasing the proportion of older adult Medicaid beneficiaries who receive </w:t>
      </w:r>
      <w:r w:rsidR="001607E7" w:rsidRPr="00427BD7">
        <w:t>LTSS</w:t>
      </w:r>
      <w:r w:rsidR="00BF1826" w:rsidRPr="00427BD7">
        <w:t xml:space="preserve"> in their homes and communities</w:t>
      </w:r>
      <w:r w:rsidRPr="00427BD7">
        <w:t xml:space="preserve">.  States can do this </w:t>
      </w:r>
      <w:r w:rsidR="00D2333F" w:rsidRPr="00427BD7">
        <w:t>because they</w:t>
      </w:r>
      <w:r w:rsidRPr="00427BD7">
        <w:t xml:space="preserve"> decide: 1) </w:t>
      </w:r>
      <w:r w:rsidR="009A583E" w:rsidRPr="00427BD7">
        <w:t>within broad</w:t>
      </w:r>
      <w:r w:rsidR="007852FB" w:rsidRPr="00427BD7">
        <w:t xml:space="preserve"> federal</w:t>
      </w:r>
      <w:r w:rsidR="009A583E" w:rsidRPr="00427BD7">
        <w:t xml:space="preserve"> guidelines, the </w:t>
      </w:r>
      <w:r w:rsidRPr="00427BD7">
        <w:t>financial and functional eligibility</w:t>
      </w:r>
      <w:r w:rsidR="007852FB" w:rsidRPr="00427BD7">
        <w:t xml:space="preserve"> criteria</w:t>
      </w:r>
      <w:r w:rsidRPr="00427BD7">
        <w:t xml:space="preserve"> for LTSS, </w:t>
      </w:r>
      <w:r w:rsidR="00D2333F" w:rsidRPr="00427BD7">
        <w:t xml:space="preserve">and </w:t>
      </w:r>
      <w:r w:rsidRPr="00427BD7">
        <w:t xml:space="preserve">2) the </w:t>
      </w:r>
      <w:r w:rsidR="009A583E" w:rsidRPr="00427BD7">
        <w:t xml:space="preserve">range of </w:t>
      </w:r>
      <w:r w:rsidR="00E55262" w:rsidRPr="00427BD7">
        <w:t xml:space="preserve">HCBS which beneficiaries </w:t>
      </w:r>
      <w:r w:rsidRPr="00427BD7">
        <w:t>receive and under what circumstances</w:t>
      </w:r>
      <w:r w:rsidR="00D2333F" w:rsidRPr="00427BD7">
        <w:t xml:space="preserve"> (O’Keeffe </w:t>
      </w:r>
      <w:r w:rsidR="00427BD7">
        <w:t>et al.,</w:t>
      </w:r>
      <w:r w:rsidR="00D2333F" w:rsidRPr="00427BD7">
        <w:t xml:space="preserve"> 2010).</w:t>
      </w:r>
      <w:r w:rsidRPr="00427BD7">
        <w:t xml:space="preserve">  </w:t>
      </w:r>
      <w:r w:rsidR="00E55262" w:rsidRPr="00427BD7">
        <w:t>For example, states with no Medicaid medically needy program</w:t>
      </w:r>
      <w:r w:rsidR="00BF1826" w:rsidRPr="00427BD7">
        <w:rPr>
          <w:rStyle w:val="FootnoteReference"/>
        </w:rPr>
        <w:footnoteReference w:id="6"/>
      </w:r>
      <w:r w:rsidR="00E55262" w:rsidRPr="00427BD7">
        <w:t xml:space="preserve"> for HCBS could implement one and enable</w:t>
      </w:r>
      <w:r w:rsidR="00BF1826" w:rsidRPr="00427BD7">
        <w:t xml:space="preserve"> </w:t>
      </w:r>
      <w:r w:rsidR="00E55262" w:rsidRPr="00427BD7">
        <w:t>older adults with costly HCBS to get Medicaid assistance before they seek nursing home admission</w:t>
      </w:r>
      <w:r w:rsidR="00541CEA" w:rsidRPr="00427BD7">
        <w:t xml:space="preserve">. </w:t>
      </w:r>
      <w:r w:rsidR="00E55262" w:rsidRPr="00427BD7">
        <w:t xml:space="preserve"> States could also provide a wide range of flexible HCBS to Medicaid beneficiaries and ensure that </w:t>
      </w:r>
      <w:r w:rsidR="004D5035" w:rsidRPr="00427BD7">
        <w:t>these services support</w:t>
      </w:r>
      <w:r w:rsidR="00E55262" w:rsidRPr="00427BD7">
        <w:t xml:space="preserve"> the families that help their loved ones remain at home. </w:t>
      </w:r>
    </w:p>
    <w:p w14:paraId="590EAB33" w14:textId="62A8601F" w:rsidR="00CC2E0F" w:rsidRPr="00D0306F" w:rsidRDefault="001607E7" w:rsidP="004C5E2B">
      <w:pPr>
        <w:pStyle w:val="Heading1"/>
        <w:numPr>
          <w:ilvl w:val="0"/>
          <w:numId w:val="42"/>
        </w:numPr>
        <w:rPr>
          <w:rFonts w:ascii="Calibri" w:hAnsi="Calibri"/>
          <w:color w:val="auto"/>
          <w:sz w:val="22"/>
          <w:szCs w:val="22"/>
        </w:rPr>
      </w:pPr>
      <w:r w:rsidRPr="00D0306F">
        <w:rPr>
          <w:rFonts w:ascii="Calibri" w:hAnsi="Calibri"/>
          <w:color w:val="auto"/>
          <w:sz w:val="22"/>
          <w:szCs w:val="22"/>
        </w:rPr>
        <w:t>Recommendations for</w:t>
      </w:r>
      <w:r w:rsidR="00B22037" w:rsidRPr="00D0306F">
        <w:rPr>
          <w:rFonts w:ascii="Calibri" w:hAnsi="Calibri"/>
          <w:color w:val="auto"/>
          <w:sz w:val="22"/>
          <w:szCs w:val="22"/>
        </w:rPr>
        <w:t xml:space="preserve"> </w:t>
      </w:r>
      <w:r w:rsidR="00B605C9" w:rsidRPr="00D0306F">
        <w:rPr>
          <w:rFonts w:ascii="Calibri" w:hAnsi="Calibri"/>
          <w:color w:val="auto"/>
          <w:sz w:val="22"/>
          <w:szCs w:val="22"/>
        </w:rPr>
        <w:t>Increased</w:t>
      </w:r>
      <w:r w:rsidRPr="00D0306F">
        <w:rPr>
          <w:rFonts w:ascii="Calibri" w:hAnsi="Calibri"/>
          <w:color w:val="auto"/>
          <w:sz w:val="22"/>
          <w:szCs w:val="22"/>
        </w:rPr>
        <w:t xml:space="preserve"> Access to</w:t>
      </w:r>
      <w:r w:rsidR="00D0306F">
        <w:rPr>
          <w:rFonts w:ascii="Calibri" w:hAnsi="Calibri"/>
          <w:color w:val="auto"/>
          <w:sz w:val="22"/>
          <w:szCs w:val="22"/>
        </w:rPr>
        <w:t xml:space="preserve"> HCBS</w:t>
      </w:r>
    </w:p>
    <w:p w14:paraId="54B5D1C8" w14:textId="50582BF0" w:rsidR="00F079CB" w:rsidRPr="00427BD7" w:rsidRDefault="00B605C9" w:rsidP="00652C32">
      <w:pPr>
        <w:spacing w:line="240" w:lineRule="auto"/>
      </w:pPr>
      <w:r w:rsidRPr="00427BD7">
        <w:t xml:space="preserve">Many studies </w:t>
      </w:r>
      <w:r w:rsidR="00E90539" w:rsidRPr="00427BD7">
        <w:t>reveal statistically significant</w:t>
      </w:r>
      <w:r w:rsidR="00652C32" w:rsidRPr="00427BD7">
        <w:t xml:space="preserve"> risk factors </w:t>
      </w:r>
      <w:r w:rsidR="00D2333F" w:rsidRPr="00427BD7">
        <w:t xml:space="preserve">related to </w:t>
      </w:r>
      <w:r w:rsidRPr="00427BD7">
        <w:t>older adults</w:t>
      </w:r>
      <w:r w:rsidR="00652C32" w:rsidRPr="00427BD7">
        <w:t>’ use of</w:t>
      </w:r>
      <w:r w:rsidRPr="00427BD7">
        <w:t xml:space="preserve"> </w:t>
      </w:r>
      <w:r w:rsidR="00652C32" w:rsidRPr="00427BD7">
        <w:t>nursing homes</w:t>
      </w:r>
      <w:r w:rsidR="00E90539" w:rsidRPr="00427BD7">
        <w:t>.  These factors</w:t>
      </w:r>
      <w:r w:rsidRPr="00427BD7">
        <w:t xml:space="preserve"> include: </w:t>
      </w:r>
      <w:r w:rsidR="00B6389C" w:rsidRPr="00427BD7">
        <w:t xml:space="preserve">prior hospitalization, </w:t>
      </w:r>
      <w:r w:rsidR="00652C32" w:rsidRPr="00427BD7">
        <w:t xml:space="preserve">symptom burden, </w:t>
      </w:r>
      <w:r w:rsidR="00F079CB" w:rsidRPr="00427BD7">
        <w:t xml:space="preserve">limitations in 3 or more </w:t>
      </w:r>
      <w:r w:rsidR="001607E7" w:rsidRPr="00427BD7">
        <w:t>ADLs</w:t>
      </w:r>
      <w:r w:rsidR="007E7E6B" w:rsidRPr="00427BD7">
        <w:t xml:space="preserve">, cognitive </w:t>
      </w:r>
      <w:r w:rsidR="00CF40DF" w:rsidRPr="00427BD7">
        <w:t>impairment</w:t>
      </w:r>
      <w:r w:rsidR="007E7E6B" w:rsidRPr="00427BD7">
        <w:t>,</w:t>
      </w:r>
      <w:r w:rsidR="00CF40DF" w:rsidRPr="00427BD7">
        <w:t xml:space="preserve"> </w:t>
      </w:r>
      <w:r w:rsidR="00AD761C" w:rsidRPr="00427BD7">
        <w:t>age,</w:t>
      </w:r>
      <w:r w:rsidR="00CF40DF" w:rsidRPr="00427BD7">
        <w:t xml:space="preserve"> </w:t>
      </w:r>
      <w:r w:rsidR="00D2333F" w:rsidRPr="00427BD7">
        <w:t xml:space="preserve">and </w:t>
      </w:r>
      <w:r w:rsidR="00CF40DF" w:rsidRPr="00427BD7">
        <w:t>liv</w:t>
      </w:r>
      <w:r w:rsidR="00AD761C" w:rsidRPr="00427BD7">
        <w:t>ing</w:t>
      </w:r>
      <w:r w:rsidR="00CF40DF" w:rsidRPr="00427BD7">
        <w:t xml:space="preserve"> alone</w:t>
      </w:r>
      <w:r w:rsidR="00B6389C" w:rsidRPr="00427BD7">
        <w:t>,</w:t>
      </w:r>
      <w:r w:rsidR="000F499A" w:rsidRPr="00427BD7">
        <w:t xml:space="preserve"> </w:t>
      </w:r>
      <w:r w:rsidR="003D25EC" w:rsidRPr="00427BD7">
        <w:t>(</w:t>
      </w:r>
      <w:r w:rsidR="00B6389C" w:rsidRPr="00427BD7">
        <w:t xml:space="preserve">Goodwin </w:t>
      </w:r>
      <w:r w:rsidR="00427BD7">
        <w:t>et al.,</w:t>
      </w:r>
      <w:r w:rsidR="00B6389C" w:rsidRPr="00427BD7">
        <w:t xml:space="preserve"> 2011; </w:t>
      </w:r>
      <w:r w:rsidR="00652C32" w:rsidRPr="00427BD7">
        <w:t xml:space="preserve">Sheppard </w:t>
      </w:r>
      <w:r w:rsidR="00427BD7">
        <w:t>et al.,</w:t>
      </w:r>
      <w:r w:rsidR="00652C32" w:rsidRPr="00427BD7">
        <w:t xml:space="preserve"> 2013; </w:t>
      </w:r>
      <w:r w:rsidR="003D25EC" w:rsidRPr="00427BD7">
        <w:t>Allen</w:t>
      </w:r>
      <w:r w:rsidR="004B2211" w:rsidRPr="00427BD7">
        <w:t xml:space="preserve"> </w:t>
      </w:r>
      <w:r w:rsidR="00427BD7">
        <w:t>et al.,</w:t>
      </w:r>
      <w:r w:rsidR="004B2211" w:rsidRPr="00427BD7">
        <w:t xml:space="preserve"> 2012;</w:t>
      </w:r>
      <w:r w:rsidR="003D25EC" w:rsidRPr="00427BD7">
        <w:t xml:space="preserve"> </w:t>
      </w:r>
      <w:r w:rsidR="002E3C7F" w:rsidRPr="00427BD7">
        <w:t>Cai</w:t>
      </w:r>
      <w:r w:rsidR="004B2211" w:rsidRPr="00427BD7">
        <w:t xml:space="preserve"> and Temkin-Greener, 2015;</w:t>
      </w:r>
      <w:r w:rsidR="000F300C" w:rsidRPr="00427BD7">
        <w:t xml:space="preserve"> </w:t>
      </w:r>
      <w:r w:rsidR="00B31332" w:rsidRPr="00427BD7">
        <w:t>Castora-Binkley</w:t>
      </w:r>
      <w:r w:rsidR="004B2211" w:rsidRPr="00427BD7">
        <w:t xml:space="preserve"> </w:t>
      </w:r>
      <w:r w:rsidR="00427BD7">
        <w:t>et al.,</w:t>
      </w:r>
      <w:r w:rsidR="003D25EC" w:rsidRPr="00427BD7">
        <w:t xml:space="preserve"> 2014</w:t>
      </w:r>
      <w:r w:rsidR="004B2211" w:rsidRPr="00427BD7">
        <w:t>;</w:t>
      </w:r>
      <w:r w:rsidR="00B31332" w:rsidRPr="00427BD7">
        <w:t xml:space="preserve"> </w:t>
      </w:r>
      <w:r w:rsidR="004B2211" w:rsidRPr="00427BD7">
        <w:t xml:space="preserve">Stineman </w:t>
      </w:r>
      <w:r w:rsidR="00427BD7">
        <w:t>et al.,</w:t>
      </w:r>
      <w:r w:rsidR="004B2211" w:rsidRPr="00427BD7">
        <w:t xml:space="preserve"> 2012;</w:t>
      </w:r>
      <w:r w:rsidR="000F300C" w:rsidRPr="00427BD7">
        <w:t xml:space="preserve"> </w:t>
      </w:r>
      <w:r w:rsidR="00B31332" w:rsidRPr="00427BD7">
        <w:t>Wang</w:t>
      </w:r>
      <w:r w:rsidR="004B2211" w:rsidRPr="00427BD7">
        <w:t xml:space="preserve"> </w:t>
      </w:r>
      <w:r w:rsidR="00427BD7">
        <w:t>et al.,</w:t>
      </w:r>
      <w:r w:rsidR="00B31332" w:rsidRPr="00427BD7">
        <w:t xml:space="preserve"> 2013</w:t>
      </w:r>
      <w:r w:rsidR="003D25EC" w:rsidRPr="00427BD7">
        <w:t>)</w:t>
      </w:r>
      <w:r w:rsidR="0091481A" w:rsidRPr="00427BD7">
        <w:t>.</w:t>
      </w:r>
      <w:r w:rsidR="00652C32" w:rsidRPr="00427BD7">
        <w:t xml:space="preserve">  </w:t>
      </w:r>
      <w:r w:rsidR="00E90539" w:rsidRPr="00427BD7">
        <w:t>Using this information, s</w:t>
      </w:r>
      <w:r w:rsidR="00652C32" w:rsidRPr="00427BD7">
        <w:t xml:space="preserve">tates can target these groups </w:t>
      </w:r>
      <w:r w:rsidR="00E90539" w:rsidRPr="00427BD7">
        <w:t xml:space="preserve">and provide them with Medicaid </w:t>
      </w:r>
      <w:r w:rsidR="00652C32" w:rsidRPr="00427BD7">
        <w:t>HCBS</w:t>
      </w:r>
      <w:r w:rsidR="00E90539" w:rsidRPr="00427BD7">
        <w:t xml:space="preserve"> before they enter a nursing home and potentially lose their housing in the community</w:t>
      </w:r>
      <w:r w:rsidR="00652C32" w:rsidRPr="00427BD7">
        <w:t xml:space="preserve">. </w:t>
      </w:r>
    </w:p>
    <w:p w14:paraId="2751525E" w14:textId="2858CCBB" w:rsidR="00CF40DF" w:rsidRPr="00427BD7" w:rsidRDefault="00652C32" w:rsidP="00017A6B">
      <w:pPr>
        <w:spacing w:line="240" w:lineRule="auto"/>
      </w:pPr>
      <w:r w:rsidRPr="00427BD7">
        <w:t>In additi</w:t>
      </w:r>
      <w:r w:rsidR="00C653D9" w:rsidRPr="00427BD7">
        <w:t>on to older adults’ health and function</w:t>
      </w:r>
      <w:r w:rsidRPr="00427BD7">
        <w:t xml:space="preserve">, their family caregivers’ stress predicts nursing home use. </w:t>
      </w:r>
      <w:r w:rsidR="00C653D9" w:rsidRPr="00427BD7">
        <w:t xml:space="preserve"> </w:t>
      </w:r>
      <w:r w:rsidR="00CF40DF" w:rsidRPr="00427BD7">
        <w:t xml:space="preserve">Spillman </w:t>
      </w:r>
      <w:r w:rsidR="009E4FA1" w:rsidRPr="00427BD7">
        <w:t xml:space="preserve">(2014) </w:t>
      </w:r>
      <w:r w:rsidR="00CA4503" w:rsidRPr="00427BD7">
        <w:t>found that h</w:t>
      </w:r>
      <w:r w:rsidR="00CF40DF" w:rsidRPr="00427BD7">
        <w:t>igh caregiver str</w:t>
      </w:r>
      <w:r w:rsidR="00C92786" w:rsidRPr="00427BD7">
        <w:t>ess le</w:t>
      </w:r>
      <w:r w:rsidR="00CF40DF" w:rsidRPr="00427BD7">
        <w:t>d to a 13 percentage point increase in the like</w:t>
      </w:r>
      <w:r w:rsidR="004828C0" w:rsidRPr="00427BD7">
        <w:t>lihood of nursing home use</w:t>
      </w:r>
      <w:r w:rsidR="00CF40DF" w:rsidRPr="00427BD7">
        <w:t xml:space="preserve"> over 1 year and 20 </w:t>
      </w:r>
      <w:r w:rsidR="00A70DC1" w:rsidRPr="00427BD7">
        <w:t xml:space="preserve">percentage </w:t>
      </w:r>
      <w:r w:rsidR="00CF40DF" w:rsidRPr="00427BD7">
        <w:t xml:space="preserve">points over 2 years. </w:t>
      </w:r>
      <w:r w:rsidR="007E5215" w:rsidRPr="00427BD7">
        <w:t xml:space="preserve"> The highest source</w:t>
      </w:r>
      <w:r w:rsidR="00993E84" w:rsidRPr="00427BD7">
        <w:t>s</w:t>
      </w:r>
      <w:r w:rsidR="007E5215" w:rsidRPr="00427BD7">
        <w:t xml:space="preserve"> of stress</w:t>
      </w:r>
      <w:r w:rsidR="00993E84" w:rsidRPr="00427BD7">
        <w:t xml:space="preserve"> for family</w:t>
      </w:r>
      <w:r w:rsidR="00CF40DF" w:rsidRPr="00427BD7">
        <w:t xml:space="preserve"> caregivers were physical and fi</w:t>
      </w:r>
      <w:r w:rsidR="00993E84" w:rsidRPr="00427BD7">
        <w:t>nancial</w:t>
      </w:r>
      <w:r w:rsidR="009E4FA1" w:rsidRPr="00427BD7">
        <w:t>.</w:t>
      </w:r>
      <w:r w:rsidR="0091481A" w:rsidRPr="00427BD7">
        <w:t xml:space="preserve"> </w:t>
      </w:r>
      <w:r w:rsidR="001C31FF" w:rsidRPr="00427BD7">
        <w:t>Physical stressors may include lifting heavy people or having to stay awake when a person needs</w:t>
      </w:r>
      <w:r w:rsidR="005F624D" w:rsidRPr="00427BD7">
        <w:t xml:space="preserve"> help</w:t>
      </w:r>
      <w:r w:rsidR="001C31FF" w:rsidRPr="00427BD7">
        <w:t xml:space="preserve"> </w:t>
      </w:r>
      <w:r w:rsidR="004D5035" w:rsidRPr="00427BD7">
        <w:t>24 hours a day</w:t>
      </w:r>
      <w:r w:rsidR="007852FB" w:rsidRPr="00427BD7">
        <w:t>.  Financial stress may</w:t>
      </w:r>
      <w:r w:rsidR="001C31FF" w:rsidRPr="00427BD7">
        <w:t xml:space="preserve"> result from having to quit a job to care for a loved one. </w:t>
      </w:r>
      <w:r w:rsidR="00CA4503" w:rsidRPr="00427BD7">
        <w:t xml:space="preserve"> </w:t>
      </w:r>
    </w:p>
    <w:p w14:paraId="62943962" w14:textId="3FF49CD9" w:rsidR="00ED25D3" w:rsidRPr="00427BD7" w:rsidRDefault="00ED25D3" w:rsidP="003D5A8A">
      <w:pPr>
        <w:spacing w:line="240" w:lineRule="auto"/>
      </w:pPr>
      <w:r w:rsidRPr="00427BD7">
        <w:t>While Medicaid programs cannot serve family caregiver</w:t>
      </w:r>
      <w:r w:rsidR="00D2333F" w:rsidRPr="00427BD7">
        <w:t>s</w:t>
      </w:r>
      <w:r w:rsidR="005F624D" w:rsidRPr="00427BD7">
        <w:t xml:space="preserve"> unless beneficiaries receive</w:t>
      </w:r>
      <w:r w:rsidR="001607E7" w:rsidRPr="00427BD7">
        <w:t xml:space="preserve"> LTSS</w:t>
      </w:r>
      <w:r w:rsidRPr="00427BD7">
        <w:t xml:space="preserve">, states’ can make choices about their Medicaid programs that can help these caregivers. </w:t>
      </w:r>
      <w:r w:rsidR="0018446E" w:rsidRPr="00427BD7">
        <w:t xml:space="preserve"> For example, states can take advantage of opportunities to pay family caregivers of those</w:t>
      </w:r>
      <w:r w:rsidR="00D2333F" w:rsidRPr="00427BD7">
        <w:t xml:space="preserve"> Medicaid</w:t>
      </w:r>
      <w:r w:rsidR="004D5035" w:rsidRPr="00427BD7">
        <w:t xml:space="preserve"> beneficiaries who have </w:t>
      </w:r>
      <w:r w:rsidR="0018446E" w:rsidRPr="00427BD7">
        <w:t xml:space="preserve">family </w:t>
      </w:r>
      <w:r w:rsidR="004D5035" w:rsidRPr="00427BD7">
        <w:t xml:space="preserve">they would like to </w:t>
      </w:r>
      <w:r w:rsidR="007019D7" w:rsidRPr="00427BD7">
        <w:t>provide</w:t>
      </w:r>
      <w:r w:rsidR="0018446E" w:rsidRPr="00427BD7">
        <w:t xml:space="preserve"> services.  States can ensure that adult day centers and respite services are available to beneficiaries in ways that are helpful to family caregivers.  States can offer education and helplines to caregivers who have questions about</w:t>
      </w:r>
      <w:r w:rsidR="007852FB" w:rsidRPr="00427BD7">
        <w:t xml:space="preserve"> how to help </w:t>
      </w:r>
      <w:r w:rsidR="0018446E" w:rsidRPr="00427BD7">
        <w:t>Medicaid beneficiaries</w:t>
      </w:r>
      <w:r w:rsidR="007852FB" w:rsidRPr="00427BD7">
        <w:t xml:space="preserve"> who receive HCBS</w:t>
      </w:r>
      <w:r w:rsidR="0018446E" w:rsidRPr="00427BD7">
        <w:t xml:space="preserve">. </w:t>
      </w:r>
    </w:p>
    <w:p w14:paraId="77ABABB0" w14:textId="711F5D44" w:rsidR="00861489" w:rsidRPr="00427BD7" w:rsidRDefault="0018446E" w:rsidP="003D5A8A">
      <w:pPr>
        <w:spacing w:line="240" w:lineRule="auto"/>
      </w:pPr>
      <w:r w:rsidRPr="00427BD7">
        <w:t xml:space="preserve">States can also augment their </w:t>
      </w:r>
      <w:r w:rsidR="00C0056A" w:rsidRPr="00427BD7">
        <w:t>National Family Caregiver Support Program</w:t>
      </w:r>
      <w:r w:rsidR="00D2333F" w:rsidRPr="00427BD7">
        <w:t>s</w:t>
      </w:r>
      <w:r w:rsidR="00CA4503" w:rsidRPr="00427BD7">
        <w:t xml:space="preserve"> (NFCSP)</w:t>
      </w:r>
      <w:r w:rsidR="00D2333F" w:rsidRPr="00427BD7">
        <w:t xml:space="preserve">, which </w:t>
      </w:r>
      <w:r w:rsidR="007019D7" w:rsidRPr="00427BD7">
        <w:t xml:space="preserve">receive funding under </w:t>
      </w:r>
      <w:r w:rsidRPr="00427BD7">
        <w:t>the Older Americans Act</w:t>
      </w:r>
      <w:r w:rsidR="001607E7" w:rsidRPr="00427BD7">
        <w:t xml:space="preserve"> (OAA)</w:t>
      </w:r>
      <w:r w:rsidR="00D2333F" w:rsidRPr="00427BD7">
        <w:t xml:space="preserve"> Title IIIE</w:t>
      </w:r>
      <w:r w:rsidR="007019D7" w:rsidRPr="00427BD7">
        <w:t>,</w:t>
      </w:r>
      <w:r w:rsidR="00D2333F" w:rsidRPr="00427BD7">
        <w:t xml:space="preserve"> and connect the</w:t>
      </w:r>
      <w:r w:rsidR="00034A87" w:rsidRPr="00427BD7">
        <w:t>s</w:t>
      </w:r>
      <w:r w:rsidR="00D2333F" w:rsidRPr="00427BD7">
        <w:t>e</w:t>
      </w:r>
      <w:r w:rsidR="00034A87" w:rsidRPr="00427BD7">
        <w:t xml:space="preserve"> program</w:t>
      </w:r>
      <w:r w:rsidR="00D2333F" w:rsidRPr="00427BD7">
        <w:t>s</w:t>
      </w:r>
      <w:r w:rsidR="00034A87" w:rsidRPr="00427BD7">
        <w:t xml:space="preserve"> with their Medicaid programs.  The NFCSP</w:t>
      </w:r>
      <w:r w:rsidR="00C0056A" w:rsidRPr="00427BD7">
        <w:t xml:space="preserve"> provides grants to states and territories to </w:t>
      </w:r>
      <w:r w:rsidR="00D67A93" w:rsidRPr="00427BD7">
        <w:t>help</w:t>
      </w:r>
      <w:r w:rsidR="00C0056A" w:rsidRPr="00427BD7">
        <w:t xml:space="preserve"> family care for their loved ones at home </w:t>
      </w:r>
      <w:r w:rsidR="00D67A93" w:rsidRPr="00427BD7">
        <w:t>by providing</w:t>
      </w:r>
      <w:r w:rsidR="00C0056A" w:rsidRPr="00427BD7">
        <w:t xml:space="preserve">: information, access assistance, counseling and training, respite care, and supplemental services. </w:t>
      </w:r>
      <w:r w:rsidR="00D67A93" w:rsidRPr="00427BD7">
        <w:t xml:space="preserve"> D</w:t>
      </w:r>
      <w:r w:rsidR="004828C0" w:rsidRPr="00427BD7">
        <w:t xml:space="preserve">ata from </w:t>
      </w:r>
      <w:r w:rsidR="001607E7" w:rsidRPr="00427BD7">
        <w:t xml:space="preserve">the Administration for Community Living’s (ACL) </w:t>
      </w:r>
      <w:r w:rsidR="004828C0" w:rsidRPr="00427BD7">
        <w:t>national s</w:t>
      </w:r>
      <w:r w:rsidR="00D67A93" w:rsidRPr="00427BD7">
        <w:t xml:space="preserve">urveys of </w:t>
      </w:r>
      <w:r w:rsidR="00D67A93" w:rsidRPr="00427BD7">
        <w:lastRenderedPageBreak/>
        <w:t>c</w:t>
      </w:r>
      <w:r w:rsidR="005F624D" w:rsidRPr="00427BD7">
        <w:t>aregivers of older clients show</w:t>
      </w:r>
      <w:r w:rsidR="00D67A93" w:rsidRPr="00427BD7">
        <w:t xml:space="preserve"> that OAA services, including those provided through the </w:t>
      </w:r>
      <w:r w:rsidR="005F624D" w:rsidRPr="00427BD7">
        <w:t>NFCSP</w:t>
      </w:r>
      <w:r w:rsidR="00D67A93" w:rsidRPr="00427BD7">
        <w:t xml:space="preserve">, </w:t>
      </w:r>
      <w:r w:rsidR="00CA4503" w:rsidRPr="00427BD7">
        <w:t>may</w:t>
      </w:r>
      <w:r w:rsidR="004828C0" w:rsidRPr="00427BD7">
        <w:t xml:space="preserve"> help</w:t>
      </w:r>
      <w:r w:rsidR="00D67A93" w:rsidRPr="00427BD7">
        <w:t xml:space="preserve"> caregivers keep their loved ones at home</w:t>
      </w:r>
      <w:r w:rsidR="00CA4503" w:rsidRPr="00427BD7">
        <w:t xml:space="preserve"> </w:t>
      </w:r>
      <w:r w:rsidR="00D67A93" w:rsidRPr="00427BD7">
        <w:t>(</w:t>
      </w:r>
      <w:r w:rsidR="001C31FF" w:rsidRPr="00427BD7">
        <w:t>U.S. Departme</w:t>
      </w:r>
      <w:r w:rsidR="004D5035" w:rsidRPr="00427BD7">
        <w:t>nt of Health and Human Services,</w:t>
      </w:r>
      <w:r w:rsidR="00D67A93" w:rsidRPr="00427BD7">
        <w:t xml:space="preserve"> 2016)</w:t>
      </w:r>
      <w:r w:rsidR="004828C0" w:rsidRPr="00427BD7">
        <w:t xml:space="preserve">. </w:t>
      </w:r>
      <w:r w:rsidR="00D67A93" w:rsidRPr="00427BD7">
        <w:t xml:space="preserve"> Nearly 40 percent of caregivers </w:t>
      </w:r>
      <w:r w:rsidR="00CA4503" w:rsidRPr="00427BD7">
        <w:t>reported that their family member</w:t>
      </w:r>
      <w:r w:rsidR="00D2333F" w:rsidRPr="00427BD7">
        <w:t>s</w:t>
      </w:r>
      <w:r w:rsidR="00D67A93" w:rsidRPr="00427BD7">
        <w:t xml:space="preserve"> would be unable to re</w:t>
      </w:r>
      <w:r w:rsidR="00CA4503" w:rsidRPr="00427BD7">
        <w:t>main at home without</w:t>
      </w:r>
      <w:r w:rsidR="00D67A93" w:rsidRPr="00427BD7">
        <w:t xml:space="preserve"> services</w:t>
      </w:r>
      <w:r w:rsidR="00CA4503" w:rsidRPr="00427BD7">
        <w:t xml:space="preserve"> and most said that </w:t>
      </w:r>
      <w:r w:rsidR="00D67A93" w:rsidRPr="00427BD7">
        <w:t>the care recipient would most likely be living in a nursing home or assisted living.</w:t>
      </w:r>
      <w:r w:rsidR="003D5A8A" w:rsidRPr="00427BD7">
        <w:t xml:space="preserve">  </w:t>
      </w:r>
      <w:r w:rsidR="00EC6EDC" w:rsidRPr="00427BD7">
        <w:t>In another caregiver</w:t>
      </w:r>
      <w:r w:rsidR="004D5035" w:rsidRPr="00427BD7">
        <w:t>-</w:t>
      </w:r>
      <w:r w:rsidR="00D4170B" w:rsidRPr="00427BD7">
        <w:t>support</w:t>
      </w:r>
      <w:r w:rsidR="00EC6EDC" w:rsidRPr="00427BD7">
        <w:t xml:space="preserve">-related study, </w:t>
      </w:r>
      <w:r w:rsidR="00861489" w:rsidRPr="00427BD7">
        <w:t xml:space="preserve">Washington State analyzed the impact of looser eligibility standards for its Family Caregiver Support Program and found that </w:t>
      </w:r>
      <w:r w:rsidR="00861489" w:rsidRPr="00427BD7">
        <w:rPr>
          <w:rFonts w:cs="Calibri"/>
        </w:rPr>
        <w:t xml:space="preserve">the expansion </w:t>
      </w:r>
      <w:r w:rsidR="00EC6EDC" w:rsidRPr="00427BD7">
        <w:rPr>
          <w:rFonts w:cs="Calibri"/>
        </w:rPr>
        <w:t xml:space="preserve">of services </w:t>
      </w:r>
      <w:r w:rsidR="00861489" w:rsidRPr="00427BD7">
        <w:rPr>
          <w:rFonts w:cs="Calibri"/>
        </w:rPr>
        <w:t xml:space="preserve">was associated with a statistically significant delay in </w:t>
      </w:r>
      <w:r w:rsidR="00EC6EDC" w:rsidRPr="00427BD7">
        <w:rPr>
          <w:rFonts w:cs="Calibri"/>
        </w:rPr>
        <w:t>the use of Medicaid LTSS</w:t>
      </w:r>
      <w:r w:rsidR="003D5A8A" w:rsidRPr="00427BD7">
        <w:rPr>
          <w:rFonts w:cs="Calibri"/>
        </w:rPr>
        <w:t xml:space="preserve"> (Lavelle 2014).</w:t>
      </w:r>
      <w:r w:rsidR="00EC6EDC" w:rsidRPr="00427BD7">
        <w:rPr>
          <w:rFonts w:cs="Calibri"/>
        </w:rPr>
        <w:t xml:space="preserve"> </w:t>
      </w:r>
    </w:p>
    <w:p w14:paraId="13FCF3DC" w14:textId="1EA747CD" w:rsidR="0091481A" w:rsidRPr="00427BD7" w:rsidRDefault="00E22AF4" w:rsidP="003D5A8A">
      <w:pPr>
        <w:pStyle w:val="Default"/>
        <w:rPr>
          <w:rFonts w:asciiTheme="minorHAnsi" w:hAnsiTheme="minorHAnsi"/>
          <w:sz w:val="22"/>
          <w:szCs w:val="22"/>
        </w:rPr>
      </w:pPr>
      <w:r w:rsidRPr="00427BD7">
        <w:rPr>
          <w:rFonts w:asciiTheme="minorHAnsi" w:hAnsiTheme="minorHAnsi"/>
          <w:sz w:val="22"/>
          <w:szCs w:val="22"/>
        </w:rPr>
        <w:t xml:space="preserve">The research supports </w:t>
      </w:r>
      <w:r w:rsidR="003D5A8A" w:rsidRPr="00427BD7">
        <w:rPr>
          <w:rFonts w:asciiTheme="minorHAnsi" w:hAnsiTheme="minorHAnsi"/>
          <w:sz w:val="22"/>
          <w:szCs w:val="22"/>
        </w:rPr>
        <w:t>the conclusion that s</w:t>
      </w:r>
      <w:r w:rsidR="00993E84" w:rsidRPr="00427BD7">
        <w:rPr>
          <w:rFonts w:asciiTheme="minorHAnsi" w:hAnsiTheme="minorHAnsi"/>
          <w:sz w:val="22"/>
          <w:szCs w:val="22"/>
        </w:rPr>
        <w:t xml:space="preserve">tates could </w:t>
      </w:r>
      <w:r w:rsidRPr="00427BD7">
        <w:rPr>
          <w:rFonts w:asciiTheme="minorHAnsi" w:hAnsiTheme="minorHAnsi"/>
          <w:sz w:val="22"/>
          <w:szCs w:val="22"/>
        </w:rPr>
        <w:t xml:space="preserve">make progress in helping older adults remain in the community </w:t>
      </w:r>
      <w:r w:rsidR="004A4A56" w:rsidRPr="00427BD7">
        <w:rPr>
          <w:rFonts w:asciiTheme="minorHAnsi" w:hAnsiTheme="minorHAnsi"/>
          <w:sz w:val="22"/>
          <w:szCs w:val="22"/>
        </w:rPr>
        <w:t>longer</w:t>
      </w:r>
      <w:r w:rsidR="00D2333F" w:rsidRPr="00427BD7">
        <w:rPr>
          <w:rFonts w:asciiTheme="minorHAnsi" w:hAnsiTheme="minorHAnsi"/>
          <w:sz w:val="22"/>
          <w:szCs w:val="22"/>
        </w:rPr>
        <w:t>,</w:t>
      </w:r>
      <w:r w:rsidR="004A4A56" w:rsidRPr="00427BD7">
        <w:rPr>
          <w:rFonts w:asciiTheme="minorHAnsi" w:hAnsiTheme="minorHAnsi"/>
          <w:sz w:val="22"/>
          <w:szCs w:val="22"/>
        </w:rPr>
        <w:t xml:space="preserve"> </w:t>
      </w:r>
      <w:r w:rsidRPr="00427BD7">
        <w:rPr>
          <w:rFonts w:asciiTheme="minorHAnsi" w:hAnsiTheme="minorHAnsi"/>
          <w:sz w:val="22"/>
          <w:szCs w:val="22"/>
        </w:rPr>
        <w:t xml:space="preserve">if </w:t>
      </w:r>
      <w:r w:rsidR="00993E84" w:rsidRPr="00427BD7">
        <w:rPr>
          <w:rFonts w:asciiTheme="minorHAnsi" w:hAnsiTheme="minorHAnsi"/>
          <w:sz w:val="22"/>
          <w:szCs w:val="22"/>
        </w:rPr>
        <w:t xml:space="preserve">they </w:t>
      </w:r>
      <w:r w:rsidR="00D71F97" w:rsidRPr="00427BD7">
        <w:rPr>
          <w:rFonts w:asciiTheme="minorHAnsi" w:hAnsiTheme="minorHAnsi"/>
          <w:sz w:val="22"/>
          <w:szCs w:val="22"/>
        </w:rPr>
        <w:t>target</w:t>
      </w:r>
      <w:r w:rsidR="00FA3DE0" w:rsidRPr="00427BD7">
        <w:rPr>
          <w:rFonts w:asciiTheme="minorHAnsi" w:hAnsiTheme="minorHAnsi"/>
          <w:sz w:val="22"/>
          <w:szCs w:val="22"/>
        </w:rPr>
        <w:t xml:space="preserve"> HCBS to older adults</w:t>
      </w:r>
      <w:r w:rsidR="000850E3" w:rsidRPr="00427BD7">
        <w:rPr>
          <w:rFonts w:asciiTheme="minorHAnsi" w:hAnsiTheme="minorHAnsi"/>
          <w:sz w:val="22"/>
          <w:szCs w:val="22"/>
        </w:rPr>
        <w:t xml:space="preserve"> at risk </w:t>
      </w:r>
      <w:r w:rsidR="00D71F97" w:rsidRPr="00427BD7">
        <w:rPr>
          <w:rFonts w:asciiTheme="minorHAnsi" w:hAnsiTheme="minorHAnsi"/>
          <w:sz w:val="22"/>
          <w:szCs w:val="22"/>
        </w:rPr>
        <w:t>of nursing home use and provid</w:t>
      </w:r>
      <w:r w:rsidR="001607E7" w:rsidRPr="00427BD7">
        <w:rPr>
          <w:rFonts w:asciiTheme="minorHAnsi" w:hAnsiTheme="minorHAnsi"/>
          <w:sz w:val="22"/>
          <w:szCs w:val="22"/>
        </w:rPr>
        <w:t>e</w:t>
      </w:r>
      <w:r w:rsidR="000850E3" w:rsidRPr="00427BD7">
        <w:rPr>
          <w:rFonts w:asciiTheme="minorHAnsi" w:hAnsiTheme="minorHAnsi"/>
          <w:sz w:val="22"/>
          <w:szCs w:val="22"/>
        </w:rPr>
        <w:t xml:space="preserve"> supports to </w:t>
      </w:r>
      <w:r w:rsidR="00993E84" w:rsidRPr="00427BD7">
        <w:rPr>
          <w:rFonts w:asciiTheme="minorHAnsi" w:hAnsiTheme="minorHAnsi"/>
          <w:sz w:val="22"/>
          <w:szCs w:val="22"/>
        </w:rPr>
        <w:t>family caregivers</w:t>
      </w:r>
      <w:r w:rsidR="000850E3" w:rsidRPr="00427BD7">
        <w:rPr>
          <w:rFonts w:asciiTheme="minorHAnsi" w:hAnsiTheme="minorHAnsi"/>
          <w:sz w:val="22"/>
          <w:szCs w:val="22"/>
        </w:rPr>
        <w:t xml:space="preserve">. </w:t>
      </w:r>
      <w:r w:rsidRPr="00427BD7">
        <w:rPr>
          <w:rFonts w:asciiTheme="minorHAnsi" w:hAnsiTheme="minorHAnsi"/>
          <w:sz w:val="22"/>
          <w:szCs w:val="22"/>
        </w:rPr>
        <w:t xml:space="preserve"> </w:t>
      </w:r>
      <w:r w:rsidR="0091481A" w:rsidRPr="00427BD7">
        <w:rPr>
          <w:rFonts w:asciiTheme="minorHAnsi" w:hAnsiTheme="minorHAnsi"/>
          <w:sz w:val="22"/>
          <w:szCs w:val="22"/>
        </w:rPr>
        <w:t>States could identify the family caregiver(s)</w:t>
      </w:r>
      <w:r w:rsidR="000850E3" w:rsidRPr="00427BD7">
        <w:rPr>
          <w:rFonts w:asciiTheme="minorHAnsi" w:hAnsiTheme="minorHAnsi"/>
          <w:sz w:val="22"/>
          <w:szCs w:val="22"/>
        </w:rPr>
        <w:t xml:space="preserve"> of Medicaid beneficiaries</w:t>
      </w:r>
      <w:r w:rsidR="0091481A" w:rsidRPr="00427BD7">
        <w:rPr>
          <w:rFonts w:asciiTheme="minorHAnsi" w:hAnsiTheme="minorHAnsi"/>
          <w:sz w:val="22"/>
          <w:szCs w:val="22"/>
        </w:rPr>
        <w:t>, and assess and address their unmet needs for information, education, and supportiv</w:t>
      </w:r>
      <w:r w:rsidR="001C31FF" w:rsidRPr="00427BD7">
        <w:rPr>
          <w:rFonts w:asciiTheme="minorHAnsi" w:hAnsiTheme="minorHAnsi"/>
          <w:sz w:val="22"/>
          <w:szCs w:val="22"/>
        </w:rPr>
        <w:t xml:space="preserve">e services, especially when following the person-centered </w:t>
      </w:r>
      <w:r w:rsidR="005F624D" w:rsidRPr="00427BD7">
        <w:rPr>
          <w:rFonts w:asciiTheme="minorHAnsi" w:hAnsiTheme="minorHAnsi"/>
          <w:sz w:val="22"/>
          <w:szCs w:val="22"/>
        </w:rPr>
        <w:t xml:space="preserve">service </w:t>
      </w:r>
      <w:r w:rsidR="0091481A" w:rsidRPr="00427BD7">
        <w:rPr>
          <w:rFonts w:asciiTheme="minorHAnsi" w:hAnsiTheme="minorHAnsi"/>
          <w:sz w:val="22"/>
          <w:szCs w:val="22"/>
        </w:rPr>
        <w:t xml:space="preserve">plan </w:t>
      </w:r>
      <w:r w:rsidR="001C31FF" w:rsidRPr="00427BD7">
        <w:rPr>
          <w:rFonts w:asciiTheme="minorHAnsi" w:hAnsiTheme="minorHAnsi"/>
          <w:sz w:val="22"/>
          <w:szCs w:val="22"/>
        </w:rPr>
        <w:t xml:space="preserve">involves reliance on a </w:t>
      </w:r>
      <w:r w:rsidR="0091481A" w:rsidRPr="00427BD7">
        <w:rPr>
          <w:rFonts w:asciiTheme="minorHAnsi" w:hAnsiTheme="minorHAnsi"/>
          <w:sz w:val="22"/>
          <w:szCs w:val="22"/>
        </w:rPr>
        <w:t xml:space="preserve">family caregiver.  </w:t>
      </w:r>
    </w:p>
    <w:p w14:paraId="64B77BCB" w14:textId="281F063B" w:rsidR="00076BD4" w:rsidRPr="004C5E2B" w:rsidRDefault="00B75AB3" w:rsidP="004C5E2B">
      <w:pPr>
        <w:pStyle w:val="Heading1"/>
        <w:numPr>
          <w:ilvl w:val="0"/>
          <w:numId w:val="42"/>
        </w:numPr>
        <w:rPr>
          <w:rFonts w:ascii="Calibri" w:hAnsi="Calibri"/>
          <w:color w:val="auto"/>
          <w:sz w:val="22"/>
          <w:szCs w:val="22"/>
        </w:rPr>
      </w:pPr>
      <w:r w:rsidRPr="004C5E2B">
        <w:rPr>
          <w:rFonts w:ascii="Calibri" w:hAnsi="Calibri"/>
          <w:color w:val="auto"/>
          <w:sz w:val="22"/>
          <w:szCs w:val="22"/>
        </w:rPr>
        <w:t>Provi</w:t>
      </w:r>
      <w:r w:rsidR="00E33D6C" w:rsidRPr="004C5E2B">
        <w:rPr>
          <w:rFonts w:ascii="Calibri" w:hAnsi="Calibri"/>
          <w:color w:val="auto"/>
          <w:sz w:val="22"/>
          <w:szCs w:val="22"/>
        </w:rPr>
        <w:t>sion of</w:t>
      </w:r>
      <w:r w:rsidRPr="004C5E2B">
        <w:rPr>
          <w:rFonts w:ascii="Calibri" w:hAnsi="Calibri"/>
          <w:color w:val="auto"/>
          <w:sz w:val="22"/>
          <w:szCs w:val="22"/>
        </w:rPr>
        <w:t xml:space="preserve"> </w:t>
      </w:r>
      <w:r w:rsidR="00E33D6C" w:rsidRPr="004C5E2B">
        <w:rPr>
          <w:rFonts w:ascii="Calibri" w:hAnsi="Calibri"/>
          <w:color w:val="auto"/>
          <w:sz w:val="22"/>
          <w:szCs w:val="22"/>
        </w:rPr>
        <w:t>HCBS</w:t>
      </w:r>
      <w:r w:rsidRPr="004C5E2B">
        <w:rPr>
          <w:rFonts w:ascii="Calibri" w:hAnsi="Calibri"/>
          <w:color w:val="auto"/>
          <w:sz w:val="22"/>
          <w:szCs w:val="22"/>
        </w:rPr>
        <w:t xml:space="preserve"> to Older Adults and </w:t>
      </w:r>
      <w:r w:rsidR="00A53616" w:rsidRPr="004C5E2B">
        <w:rPr>
          <w:rFonts w:ascii="Calibri" w:hAnsi="Calibri"/>
          <w:color w:val="auto"/>
          <w:sz w:val="22"/>
          <w:szCs w:val="22"/>
        </w:rPr>
        <w:t>its</w:t>
      </w:r>
      <w:r w:rsidR="00076BD4" w:rsidRPr="004C5E2B">
        <w:rPr>
          <w:rFonts w:ascii="Calibri" w:hAnsi="Calibri"/>
          <w:color w:val="auto"/>
          <w:sz w:val="22"/>
          <w:szCs w:val="22"/>
        </w:rPr>
        <w:t xml:space="preserve"> Relationship to</w:t>
      </w:r>
      <w:r w:rsidR="00B56BC4" w:rsidRPr="004C5E2B">
        <w:rPr>
          <w:rFonts w:ascii="Calibri" w:hAnsi="Calibri"/>
          <w:color w:val="auto"/>
          <w:sz w:val="22"/>
          <w:szCs w:val="22"/>
        </w:rPr>
        <w:t xml:space="preserve"> </w:t>
      </w:r>
      <w:r w:rsidR="00E33D6C" w:rsidRPr="004C5E2B">
        <w:rPr>
          <w:rFonts w:ascii="Calibri" w:hAnsi="Calibri"/>
          <w:color w:val="auto"/>
          <w:sz w:val="22"/>
          <w:szCs w:val="22"/>
        </w:rPr>
        <w:t>their</w:t>
      </w:r>
      <w:r w:rsidR="00076BD4" w:rsidRPr="004C5E2B">
        <w:rPr>
          <w:rFonts w:ascii="Calibri" w:hAnsi="Calibri"/>
          <w:color w:val="auto"/>
          <w:sz w:val="22"/>
          <w:szCs w:val="22"/>
        </w:rPr>
        <w:t xml:space="preserve"> Nursing Home Use</w:t>
      </w:r>
    </w:p>
    <w:p w14:paraId="6E15127B" w14:textId="5A030F59" w:rsidR="00CB2350" w:rsidRPr="00427BD7" w:rsidRDefault="00D2333F" w:rsidP="00017A6B">
      <w:pPr>
        <w:spacing w:line="240" w:lineRule="auto"/>
      </w:pPr>
      <w:r w:rsidRPr="00427BD7">
        <w:t>S</w:t>
      </w:r>
      <w:r w:rsidR="00657034" w:rsidRPr="00427BD7">
        <w:t>tudies show that increased</w:t>
      </w:r>
      <w:r w:rsidR="00EA1093" w:rsidRPr="00427BD7">
        <w:t xml:space="preserve"> </w:t>
      </w:r>
      <w:r w:rsidR="001C31FF" w:rsidRPr="00427BD7">
        <w:t xml:space="preserve">provision of </w:t>
      </w:r>
      <w:r w:rsidR="00EA1093" w:rsidRPr="00427BD7">
        <w:t xml:space="preserve">HCBS is </w:t>
      </w:r>
      <w:r w:rsidR="00D71F97" w:rsidRPr="00427BD7">
        <w:t>significantly related to</w:t>
      </w:r>
      <w:r w:rsidR="00657034" w:rsidRPr="00427BD7">
        <w:t xml:space="preserve"> lower use of nursing homes. </w:t>
      </w:r>
      <w:r w:rsidR="00BA475D" w:rsidRPr="00427BD7">
        <w:t>This is true for Medicaid-funded HCBS</w:t>
      </w:r>
      <w:r w:rsidR="00CB2350" w:rsidRPr="00427BD7">
        <w:t>, and</w:t>
      </w:r>
      <w:r w:rsidR="00BA475D" w:rsidRPr="00427BD7">
        <w:t xml:space="preserve"> separately for</w:t>
      </w:r>
      <w:r w:rsidR="00CB2350" w:rsidRPr="00427BD7">
        <w:t xml:space="preserve"> OAA-funded HCBS </w:t>
      </w:r>
      <w:r w:rsidR="00146942" w:rsidRPr="00427BD7">
        <w:t xml:space="preserve">and meals.  </w:t>
      </w:r>
      <w:r w:rsidR="007466EB" w:rsidRPr="00427BD7">
        <w:t xml:space="preserve">Provision of HCBS likely reduces spending on nursing homes </w:t>
      </w:r>
      <w:r w:rsidR="007755FE" w:rsidRPr="00427BD7">
        <w:t xml:space="preserve">by </w:t>
      </w:r>
      <w:r w:rsidR="00BA475D" w:rsidRPr="00427BD7">
        <w:t>enabling older adults to stay in their communities longer and their family caregivers to</w:t>
      </w:r>
      <w:r w:rsidR="001C31FF" w:rsidRPr="00427BD7">
        <w:t xml:space="preserve"> potentially</w:t>
      </w:r>
      <w:r w:rsidR="00BA475D" w:rsidRPr="00427BD7">
        <w:t xml:space="preserve"> experience reduced stress.</w:t>
      </w:r>
      <w:r w:rsidR="00893AD8" w:rsidRPr="00427BD7">
        <w:t xml:space="preserve"> </w:t>
      </w:r>
      <w:r w:rsidR="00A01808" w:rsidRPr="00427BD7">
        <w:t xml:space="preserve"> </w:t>
      </w:r>
    </w:p>
    <w:p w14:paraId="7D9C103F" w14:textId="7BB77A7F" w:rsidR="002F20AA" w:rsidRPr="00427BD7" w:rsidRDefault="001678AC" w:rsidP="00D22E03">
      <w:pPr>
        <w:spacing w:line="240" w:lineRule="auto"/>
      </w:pPr>
      <w:r w:rsidRPr="00427BD7">
        <w:t xml:space="preserve">Using national Medicare and MDS data for </w:t>
      </w:r>
      <w:r w:rsidR="005253B4" w:rsidRPr="00427BD7">
        <w:t>skilled nursing facility (</w:t>
      </w:r>
      <w:r w:rsidRPr="00427BD7">
        <w:t>SNF</w:t>
      </w:r>
      <w:r w:rsidR="005253B4" w:rsidRPr="00427BD7">
        <w:t>)</w:t>
      </w:r>
      <w:r w:rsidRPr="00427BD7">
        <w:t xml:space="preserve"> users, researchers studied the impact of state HCBS spending on dual eligibles</w:t>
      </w:r>
      <w:r w:rsidR="00F82EB5" w:rsidRPr="00427BD7">
        <w:rPr>
          <w:rStyle w:val="FootnoteReference"/>
        </w:rPr>
        <w:footnoteReference w:id="7"/>
      </w:r>
      <w:r w:rsidRPr="00427BD7">
        <w:t xml:space="preserve"> with nursing home stays exceeding 100 days. The authors controlled for beneficiaries’ clinical, demographic, socio-economic, and geographic characteristics and tested the impact of state SNF and Medicaid HCBS policies and spending.  Dual eli</w:t>
      </w:r>
      <w:r w:rsidR="00F82EB5" w:rsidRPr="00427BD7">
        <w:t>gibles experienced</w:t>
      </w:r>
      <w:r w:rsidRPr="00427BD7">
        <w:t xml:space="preserve"> less risk of long stays in nursing homes as their states’ </w:t>
      </w:r>
      <w:r w:rsidR="000412AC" w:rsidRPr="00427BD7">
        <w:t xml:space="preserve">Medicaid </w:t>
      </w:r>
      <w:r w:rsidR="00D30E0B" w:rsidRPr="00427BD7">
        <w:t>HCBS spending rose</w:t>
      </w:r>
      <w:r w:rsidRPr="00427BD7">
        <w:t xml:space="preserve"> (Rahman </w:t>
      </w:r>
      <w:r w:rsidR="00427BD7">
        <w:t>et al.,</w:t>
      </w:r>
      <w:r w:rsidRPr="00427BD7">
        <w:t xml:space="preserve"> 2015)</w:t>
      </w:r>
      <w:r w:rsidR="00D30E0B" w:rsidRPr="00427BD7">
        <w:t>.</w:t>
      </w:r>
      <w:r w:rsidR="00D22E03" w:rsidRPr="00427BD7">
        <w:t xml:space="preserve"> </w:t>
      </w:r>
      <w:r w:rsidR="00B43658" w:rsidRPr="00427BD7">
        <w:t>Miller</w:t>
      </w:r>
      <w:r w:rsidR="006D6699" w:rsidRPr="00427BD7">
        <w:t xml:space="preserve"> (2011)</w:t>
      </w:r>
      <w:r w:rsidR="00C97630" w:rsidRPr="00427BD7">
        <w:t xml:space="preserve"> examined t</w:t>
      </w:r>
      <w:r w:rsidR="00CB2350" w:rsidRPr="00427BD7">
        <w:t>he relationship between</w:t>
      </w:r>
      <w:r w:rsidR="006D6699" w:rsidRPr="00427BD7">
        <w:t xml:space="preserve"> </w:t>
      </w:r>
      <w:r w:rsidR="00D71F97" w:rsidRPr="00427BD7">
        <w:t xml:space="preserve">the </w:t>
      </w:r>
      <w:r w:rsidR="00C96CEF" w:rsidRPr="00427BD7">
        <w:t>percentage of</w:t>
      </w:r>
      <w:r w:rsidR="00C97630" w:rsidRPr="00427BD7">
        <w:t xml:space="preserve"> </w:t>
      </w:r>
      <w:r w:rsidR="00CB2350" w:rsidRPr="00427BD7">
        <w:t xml:space="preserve">Medicaid </w:t>
      </w:r>
      <w:r w:rsidR="00C96CEF" w:rsidRPr="00427BD7">
        <w:t xml:space="preserve">LTSS devoted to </w:t>
      </w:r>
      <w:r w:rsidR="00C97630" w:rsidRPr="00427BD7">
        <w:t>HCBS</w:t>
      </w:r>
      <w:r w:rsidR="006D6699" w:rsidRPr="00427BD7">
        <w:t xml:space="preserve"> and older adults’ use of nursing homes</w:t>
      </w:r>
      <w:r w:rsidR="00C97630" w:rsidRPr="00427BD7">
        <w:t>, while controlling for</w:t>
      </w:r>
      <w:r w:rsidR="006D6699" w:rsidRPr="00427BD7">
        <w:t xml:space="preserve"> their health status and state</w:t>
      </w:r>
      <w:r w:rsidR="00F82EB5" w:rsidRPr="00427BD7">
        <w:t>s</w:t>
      </w:r>
      <w:r w:rsidR="00571FDF" w:rsidRPr="00427BD7">
        <w:t>’</w:t>
      </w:r>
      <w:r w:rsidR="006D6699" w:rsidRPr="00427BD7">
        <w:t xml:space="preserve"> nursing home capacity. </w:t>
      </w:r>
      <w:r w:rsidR="00C97630" w:rsidRPr="00427BD7">
        <w:t xml:space="preserve">Over </w:t>
      </w:r>
      <w:r w:rsidR="006D6699" w:rsidRPr="00427BD7">
        <w:t>2000-2007,</w:t>
      </w:r>
      <w:r w:rsidR="00F82EB5" w:rsidRPr="00427BD7">
        <w:t xml:space="preserve"> higher </w:t>
      </w:r>
      <w:r w:rsidR="00C97630" w:rsidRPr="00427BD7">
        <w:t>investment in HCBS for older adults was associated with l</w:t>
      </w:r>
      <w:r w:rsidR="00F82EB5" w:rsidRPr="00427BD7">
        <w:t>ower use of nursing homes</w:t>
      </w:r>
      <w:r w:rsidR="00C97630" w:rsidRPr="00427BD7">
        <w:t xml:space="preserve">. </w:t>
      </w:r>
      <w:r w:rsidR="00BA475D" w:rsidRPr="00427BD7">
        <w:t xml:space="preserve"> Those states that increase the proportion of their LTSS</w:t>
      </w:r>
      <w:r w:rsidR="001A07D4" w:rsidRPr="00427BD7">
        <w:t xml:space="preserve"> devoted to HCBS</w:t>
      </w:r>
      <w:r w:rsidR="00BA475D" w:rsidRPr="00427BD7">
        <w:t xml:space="preserve"> for </w:t>
      </w:r>
      <w:r w:rsidR="001A07D4" w:rsidRPr="00427BD7">
        <w:t xml:space="preserve">their </w:t>
      </w:r>
      <w:r w:rsidR="00BA475D" w:rsidRPr="00427BD7">
        <w:t>older Medicai</w:t>
      </w:r>
      <w:r w:rsidR="001A07D4" w:rsidRPr="00427BD7">
        <w:t xml:space="preserve">d beneficiaries </w:t>
      </w:r>
      <w:r w:rsidR="00BA475D" w:rsidRPr="00427BD7">
        <w:t>may well realize decreased use of nursing homes for this population.</w:t>
      </w:r>
    </w:p>
    <w:p w14:paraId="4B2682DB" w14:textId="304348DE" w:rsidR="00CB2350" w:rsidRPr="00427BD7" w:rsidRDefault="00214402" w:rsidP="00D22E03">
      <w:pPr>
        <w:spacing w:line="240" w:lineRule="auto"/>
      </w:pPr>
      <w:r w:rsidRPr="00427BD7">
        <w:t>A</w:t>
      </w:r>
      <w:r w:rsidR="00D97687" w:rsidRPr="00427BD7">
        <w:t xml:space="preserve">s </w:t>
      </w:r>
      <w:r w:rsidR="00713376" w:rsidRPr="00427BD7">
        <w:t xml:space="preserve">spending </w:t>
      </w:r>
      <w:r w:rsidR="00F52806" w:rsidRPr="00427BD7">
        <w:t xml:space="preserve">increases </w:t>
      </w:r>
      <w:r w:rsidR="00713376" w:rsidRPr="00427BD7">
        <w:t>on OAA</w:t>
      </w:r>
      <w:r w:rsidR="0020117D" w:rsidRPr="00427BD7">
        <w:t xml:space="preserve"> Title III</w:t>
      </w:r>
      <w:r w:rsidR="00713376" w:rsidRPr="00427BD7">
        <w:t xml:space="preserve"> services</w:t>
      </w:r>
      <w:r w:rsidR="001B01DC" w:rsidRPr="00427BD7">
        <w:t xml:space="preserve">, </w:t>
      </w:r>
      <w:r w:rsidR="002A09B0" w:rsidRPr="00427BD7">
        <w:t xml:space="preserve">which are </w:t>
      </w:r>
      <w:r w:rsidR="00880B93" w:rsidRPr="00427BD7">
        <w:t>primarily</w:t>
      </w:r>
      <w:r w:rsidR="00713376" w:rsidRPr="00427BD7">
        <w:t xml:space="preserve"> HCBS and meals, </w:t>
      </w:r>
      <w:r w:rsidR="00F52806" w:rsidRPr="00427BD7">
        <w:t>older adults have</w:t>
      </w:r>
      <w:r w:rsidR="00A1640B" w:rsidRPr="00427BD7">
        <w:t xml:space="preserve"> significantly</w:t>
      </w:r>
      <w:r w:rsidR="00F52806" w:rsidRPr="00427BD7">
        <w:t xml:space="preserve"> lower use of nursing homes</w:t>
      </w:r>
      <w:r w:rsidR="00713376" w:rsidRPr="00427BD7">
        <w:t xml:space="preserve">.  </w:t>
      </w:r>
      <w:r w:rsidR="00A1640B" w:rsidRPr="00427BD7">
        <w:t>Thomas (2014)</w:t>
      </w:r>
      <w:r w:rsidR="00CB2350" w:rsidRPr="00427BD7">
        <w:t xml:space="preserve"> found that every 1% increase in the </w:t>
      </w:r>
      <w:r w:rsidR="00F03516" w:rsidRPr="00427BD7">
        <w:t>population aged 65+ receiving OAA III-B personal care</w:t>
      </w:r>
      <w:r w:rsidR="00F0225E" w:rsidRPr="00427BD7">
        <w:t xml:space="preserve"> </w:t>
      </w:r>
      <w:r w:rsidR="00CB2350" w:rsidRPr="00427BD7">
        <w:t>was associated with a</w:t>
      </w:r>
      <w:r w:rsidR="004E4840" w:rsidRPr="00427BD7">
        <w:t xml:space="preserve"> 0</w:t>
      </w:r>
      <w:r w:rsidR="00CB2350" w:rsidRPr="00427BD7">
        <w:t>.8% decrease in the proportion of low care</w:t>
      </w:r>
      <w:r w:rsidR="006A03E0" w:rsidRPr="00427BD7">
        <w:rPr>
          <w:rStyle w:val="FootnoteReference"/>
        </w:rPr>
        <w:footnoteReference w:id="8"/>
      </w:r>
      <w:r w:rsidR="00CB2350" w:rsidRPr="00427BD7">
        <w:t xml:space="preserve"> residents in nursing homes. </w:t>
      </w:r>
      <w:r w:rsidR="00A76635" w:rsidRPr="00427BD7">
        <w:t>Thomas and Mor (2013</w:t>
      </w:r>
      <w:r w:rsidR="00D42C37" w:rsidRPr="00427BD7">
        <w:t xml:space="preserve">) </w:t>
      </w:r>
      <w:r w:rsidR="00D22E03" w:rsidRPr="00427BD7">
        <w:t xml:space="preserve">found that </w:t>
      </w:r>
      <w:r w:rsidR="00CB2350" w:rsidRPr="00427BD7">
        <w:t xml:space="preserve">increases in </w:t>
      </w:r>
      <w:r w:rsidR="00191A78" w:rsidRPr="00427BD7">
        <w:t>spending</w:t>
      </w:r>
      <w:r w:rsidR="00CB2350" w:rsidRPr="00427BD7">
        <w:t xml:space="preserve"> on Title III services and the proportion of Medicaid</w:t>
      </w:r>
      <w:r w:rsidR="00191A78" w:rsidRPr="00427BD7">
        <w:t xml:space="preserve"> HCBS funding</w:t>
      </w:r>
      <w:r w:rsidR="00CB2350" w:rsidRPr="00427BD7">
        <w:t xml:space="preserve"> were associated with decreases in the proportion of low care residents in nursing homes.</w:t>
      </w:r>
      <w:r w:rsidR="00D71F97" w:rsidRPr="00427BD7">
        <w:t xml:space="preserve"> </w:t>
      </w:r>
      <w:r w:rsidR="00CB2350" w:rsidRPr="00427BD7">
        <w:t xml:space="preserve"> Further analysis found that </w:t>
      </w:r>
      <w:r w:rsidR="00F0225E" w:rsidRPr="00427BD7">
        <w:t xml:space="preserve">for </w:t>
      </w:r>
      <w:r w:rsidR="00CB2350" w:rsidRPr="00427BD7">
        <w:t xml:space="preserve">every $25 in additional per capita spending on </w:t>
      </w:r>
      <w:r w:rsidR="00A13019" w:rsidRPr="00427BD7">
        <w:t xml:space="preserve">older adults’ </w:t>
      </w:r>
      <w:r w:rsidR="00CB2350" w:rsidRPr="00427BD7">
        <w:t xml:space="preserve">home-delivered meals </w:t>
      </w:r>
      <w:r w:rsidR="00337C83" w:rsidRPr="00427BD7">
        <w:t xml:space="preserve">there </w:t>
      </w:r>
      <w:r w:rsidR="006A03E0" w:rsidRPr="00427BD7">
        <w:t>was</w:t>
      </w:r>
      <w:r w:rsidR="00CB2350" w:rsidRPr="00427BD7">
        <w:t xml:space="preserve"> a decrease in the proportion of low care nursing home residents</w:t>
      </w:r>
      <w:r w:rsidR="006A03E0" w:rsidRPr="00427BD7">
        <w:t xml:space="preserve"> of one percentage point</w:t>
      </w:r>
      <w:r w:rsidR="00CB2350" w:rsidRPr="00427BD7">
        <w:t xml:space="preserve">. </w:t>
      </w:r>
      <w:r w:rsidR="001A07D4" w:rsidRPr="00427BD7">
        <w:t xml:space="preserve"> These studies controlled for states’ Medicaid HCBS spending. </w:t>
      </w:r>
    </w:p>
    <w:p w14:paraId="1B28346C" w14:textId="562A2079" w:rsidR="00365070" w:rsidRPr="00427BD7" w:rsidRDefault="000F300C" w:rsidP="000262AA">
      <w:pPr>
        <w:spacing w:line="240" w:lineRule="auto"/>
      </w:pPr>
      <w:r w:rsidRPr="00427BD7">
        <w:lastRenderedPageBreak/>
        <w:t>Using data from a sample of</w:t>
      </w:r>
      <w:r w:rsidR="006B6B97" w:rsidRPr="00427BD7">
        <w:t xml:space="preserve"> dual eligibles</w:t>
      </w:r>
      <w:r w:rsidRPr="00427BD7">
        <w:t xml:space="preserve"> </w:t>
      </w:r>
      <w:r w:rsidR="00191A78" w:rsidRPr="00427BD7">
        <w:t>researcher</w:t>
      </w:r>
      <w:r w:rsidR="00D71F97" w:rsidRPr="00427BD7">
        <w:t>s</w:t>
      </w:r>
      <w:r w:rsidR="00191A78" w:rsidRPr="00427BD7">
        <w:t xml:space="preserve"> found that </w:t>
      </w:r>
      <w:r w:rsidR="004E4840" w:rsidRPr="00427BD7">
        <w:t>increased HCBS spending r</w:t>
      </w:r>
      <w:r w:rsidR="00191A78" w:rsidRPr="00427BD7">
        <w:t xml:space="preserve">educed risk of </w:t>
      </w:r>
      <w:r w:rsidRPr="00427BD7">
        <w:t xml:space="preserve">nursing home </w:t>
      </w:r>
      <w:r w:rsidR="00BB778E" w:rsidRPr="00427BD7">
        <w:t xml:space="preserve">use </w:t>
      </w:r>
      <w:r w:rsidRPr="00427BD7">
        <w:t>among beneficiaries with</w:t>
      </w:r>
      <w:r w:rsidR="00191A78" w:rsidRPr="00427BD7">
        <w:t xml:space="preserve"> new</w:t>
      </w:r>
      <w:r w:rsidRPr="00427BD7">
        <w:t xml:space="preserve"> </w:t>
      </w:r>
      <w:r w:rsidR="00365070" w:rsidRPr="00427BD7">
        <w:t xml:space="preserve">hip fractures and </w:t>
      </w:r>
      <w:r w:rsidRPr="00427BD7">
        <w:t>low incomes</w:t>
      </w:r>
      <w:r w:rsidR="00191A78" w:rsidRPr="00427BD7">
        <w:t>.  Long term nursing home use decreased</w:t>
      </w:r>
      <w:r w:rsidRPr="00427BD7">
        <w:t xml:space="preserve"> by </w:t>
      </w:r>
      <w:r w:rsidR="0046429A" w:rsidRPr="00427BD7">
        <w:t>0</w:t>
      </w:r>
      <w:r w:rsidRPr="00427BD7">
        <w:t>.17% for each 1 percentage point increase in the proportion of the state’s Medicaid LTSS budget all</w:t>
      </w:r>
      <w:r w:rsidR="004E4840" w:rsidRPr="00427BD7">
        <w:t>ocated to HCBS</w:t>
      </w:r>
      <w:r w:rsidRPr="00427BD7">
        <w:t xml:space="preserve">.  (Blackburn </w:t>
      </w:r>
      <w:r w:rsidR="00427BD7">
        <w:t>et al.,</w:t>
      </w:r>
      <w:r w:rsidR="00365070" w:rsidRPr="00427BD7">
        <w:t xml:space="preserve"> </w:t>
      </w:r>
      <w:r w:rsidRPr="00427BD7">
        <w:t>2015)</w:t>
      </w:r>
    </w:p>
    <w:p w14:paraId="3FDD89AF" w14:textId="73B91C0C" w:rsidR="00050D61" w:rsidRPr="00427BD7" w:rsidRDefault="00CC4B1B" w:rsidP="00A235BE">
      <w:pPr>
        <w:spacing w:line="240" w:lineRule="auto"/>
      </w:pPr>
      <w:r w:rsidRPr="00427BD7">
        <w:t>T</w:t>
      </w:r>
      <w:r w:rsidR="007852FB" w:rsidRPr="00427BD7">
        <w:t>wo</w:t>
      </w:r>
      <w:r w:rsidR="00A235BE" w:rsidRPr="00427BD7">
        <w:t xml:space="preserve"> analyses support the connection between </w:t>
      </w:r>
      <w:r w:rsidR="008B3AEB" w:rsidRPr="00427BD7">
        <w:t xml:space="preserve">HCBS </w:t>
      </w:r>
      <w:r w:rsidR="00A235BE" w:rsidRPr="00427BD7">
        <w:t>spending and</w:t>
      </w:r>
      <w:r w:rsidR="00D71F97" w:rsidRPr="00427BD7">
        <w:t xml:space="preserve"> level of </w:t>
      </w:r>
      <w:r w:rsidR="00A235BE" w:rsidRPr="00427BD7">
        <w:t xml:space="preserve">nursing home </w:t>
      </w:r>
      <w:r w:rsidR="00D71F97" w:rsidRPr="00427BD7">
        <w:t>residents’ disability</w:t>
      </w:r>
      <w:r w:rsidR="00A235BE" w:rsidRPr="00427BD7">
        <w:t>.  T</w:t>
      </w:r>
      <w:r w:rsidR="00751FF7" w:rsidRPr="00427BD7">
        <w:t xml:space="preserve">he higher the proportion of Medicaid LTSS spending devoted to HCBS, the higher the functional impairment level of new nursing home admissions and the </w:t>
      </w:r>
      <w:r w:rsidR="00A235BE" w:rsidRPr="00427BD7">
        <w:t xml:space="preserve">higher the </w:t>
      </w:r>
      <w:r w:rsidR="00751FF7" w:rsidRPr="00427BD7">
        <w:t>proportion of long-stay residents who return to the community</w:t>
      </w:r>
      <w:r w:rsidR="00A235BE" w:rsidRPr="00427BD7">
        <w:t xml:space="preserve"> (Walsh, 2006). </w:t>
      </w:r>
      <w:r w:rsidR="00A235BE" w:rsidRPr="00427BD7">
        <w:rPr>
          <w:rFonts w:cs="CalifornianFB-Roman"/>
        </w:rPr>
        <w:t>State level Medicaid LTSS</w:t>
      </w:r>
      <w:r w:rsidR="00050D61" w:rsidRPr="00427BD7">
        <w:rPr>
          <w:rFonts w:cs="CalifornianFB-Roman"/>
        </w:rPr>
        <w:t xml:space="preserve"> spending for 1995–2005 </w:t>
      </w:r>
      <w:r w:rsidR="00A235BE" w:rsidRPr="00427BD7">
        <w:rPr>
          <w:rFonts w:cs="CalifornianFB-Roman"/>
        </w:rPr>
        <w:t xml:space="preserve">shows that </w:t>
      </w:r>
      <w:r w:rsidR="00050D61" w:rsidRPr="00427BD7">
        <w:rPr>
          <w:rFonts w:cs="CalifornianFB-Roman"/>
        </w:rPr>
        <w:t xml:space="preserve">states </w:t>
      </w:r>
      <w:r w:rsidR="00A235BE" w:rsidRPr="00427BD7">
        <w:rPr>
          <w:rFonts w:cs="CalifornianFB-Roman"/>
        </w:rPr>
        <w:t xml:space="preserve">with </w:t>
      </w:r>
      <w:r w:rsidR="00050D61" w:rsidRPr="00427BD7">
        <w:rPr>
          <w:rFonts w:cs="CalifornianFB-Roman"/>
        </w:rPr>
        <w:t xml:space="preserve">extensive, well-established </w:t>
      </w:r>
      <w:r w:rsidR="00A235BE" w:rsidRPr="00427BD7">
        <w:rPr>
          <w:rFonts w:cs="CalifornianFB-Roman"/>
        </w:rPr>
        <w:t>HCBS experienced significantly less</w:t>
      </w:r>
      <w:r w:rsidR="00050D61" w:rsidRPr="00427BD7">
        <w:rPr>
          <w:rFonts w:cs="CalifornianFB-Roman"/>
        </w:rPr>
        <w:t xml:space="preserve"> growth </w:t>
      </w:r>
      <w:r w:rsidR="00A235BE" w:rsidRPr="00427BD7">
        <w:rPr>
          <w:rFonts w:cs="CalifornianFB-Roman"/>
        </w:rPr>
        <w:t xml:space="preserve">in LTSS spending </w:t>
      </w:r>
      <w:r w:rsidR="00050D61" w:rsidRPr="00427BD7">
        <w:rPr>
          <w:rFonts w:cs="CalifornianFB-Roman"/>
        </w:rPr>
        <w:t>than states with minimal</w:t>
      </w:r>
      <w:r w:rsidR="00A235BE" w:rsidRPr="00427BD7">
        <w:rPr>
          <w:rFonts w:cs="CalifornianFB-Roman"/>
        </w:rPr>
        <w:t xml:space="preserve"> HCBS (Kaye, 2009).</w:t>
      </w:r>
    </w:p>
    <w:p w14:paraId="0A804D4B" w14:textId="1CBA5BBD" w:rsidR="007B5EDD" w:rsidRPr="00427BD7" w:rsidRDefault="00BB778E" w:rsidP="007B5EDD">
      <w:pPr>
        <w:spacing w:line="240" w:lineRule="auto"/>
      </w:pPr>
      <w:r w:rsidRPr="00427BD7">
        <w:t>This research</w:t>
      </w:r>
      <w:r w:rsidR="007B5EDD" w:rsidRPr="00427BD7">
        <w:t xml:space="preserve"> demonstrates </w:t>
      </w:r>
      <w:r w:rsidR="008B3AEB" w:rsidRPr="00427BD7">
        <w:t>that</w:t>
      </w:r>
      <w:r w:rsidR="00A606ED" w:rsidRPr="00427BD7">
        <w:t xml:space="preserve"> states with low percentages of Medicaid LTSS funding </w:t>
      </w:r>
      <w:r w:rsidR="004E4840" w:rsidRPr="00427BD7">
        <w:t xml:space="preserve">devoted to </w:t>
      </w:r>
      <w:r w:rsidR="00A606ED" w:rsidRPr="00427BD7">
        <w:t>HCBS could increase such spending and likely reduce older adults</w:t>
      </w:r>
      <w:r w:rsidR="001A07D4" w:rsidRPr="00427BD7">
        <w:t>’</w:t>
      </w:r>
      <w:r w:rsidR="00A606ED" w:rsidRPr="00427BD7">
        <w:t xml:space="preserve"> use of </w:t>
      </w:r>
      <w:r w:rsidR="007B5EDD" w:rsidRPr="00427BD7">
        <w:t>nursing home</w:t>
      </w:r>
      <w:r w:rsidR="00A606ED" w:rsidRPr="00427BD7">
        <w:t>s</w:t>
      </w:r>
      <w:r w:rsidR="00751FF7" w:rsidRPr="00427BD7">
        <w:t xml:space="preserve"> and</w:t>
      </w:r>
      <w:r w:rsidR="008B3AEB" w:rsidRPr="00427BD7">
        <w:t xml:space="preserve"> help </w:t>
      </w:r>
      <w:r w:rsidR="00A606ED" w:rsidRPr="00427BD7">
        <w:t xml:space="preserve">ensure that </w:t>
      </w:r>
      <w:r w:rsidR="008B3AEB" w:rsidRPr="00427BD7">
        <w:t xml:space="preserve">nursing home use </w:t>
      </w:r>
      <w:r w:rsidR="00A606ED" w:rsidRPr="00427BD7">
        <w:t>is</w:t>
      </w:r>
      <w:r w:rsidR="00D71F97" w:rsidRPr="00427BD7">
        <w:t xml:space="preserve"> reserved</w:t>
      </w:r>
      <w:r w:rsidR="00A606ED" w:rsidRPr="00427BD7">
        <w:t xml:space="preserve"> for </w:t>
      </w:r>
      <w:r w:rsidR="008B3AEB" w:rsidRPr="00427BD7">
        <w:t>older adults with</w:t>
      </w:r>
      <w:r w:rsidR="00751FF7" w:rsidRPr="00427BD7">
        <w:t xml:space="preserve"> higher disability levels</w:t>
      </w:r>
      <w:r w:rsidR="00B96F09" w:rsidRPr="00427BD7">
        <w:t>.</w:t>
      </w:r>
      <w:r w:rsidR="007B5EDD" w:rsidRPr="00427BD7">
        <w:t xml:space="preserve">  </w:t>
      </w:r>
      <w:r w:rsidR="006B6B97" w:rsidRPr="00427BD7">
        <w:t xml:space="preserve">Those states that are not already providing a </w:t>
      </w:r>
      <w:r w:rsidR="004E4840" w:rsidRPr="00427BD7">
        <w:t xml:space="preserve">relatively </w:t>
      </w:r>
      <w:r w:rsidR="006B6B97" w:rsidRPr="00427BD7">
        <w:t>high percentage of LTSS</w:t>
      </w:r>
      <w:r w:rsidR="00191A78" w:rsidRPr="00427BD7">
        <w:t xml:space="preserve"> to older adults in their homes and communities could consider </w:t>
      </w:r>
      <w:r w:rsidR="006B6B97" w:rsidRPr="00427BD7">
        <w:t>doing so</w:t>
      </w:r>
      <w:r w:rsidR="00191A78" w:rsidRPr="00427BD7">
        <w:t xml:space="preserve"> to reduce nursing home use and serve people where most would like to live</w:t>
      </w:r>
      <w:r w:rsidR="006B6B97" w:rsidRPr="00427BD7">
        <w:t>.</w:t>
      </w:r>
    </w:p>
    <w:p w14:paraId="001B8AD9" w14:textId="4F9C0ED3" w:rsidR="00DC3540" w:rsidRPr="00427BD7" w:rsidRDefault="00DC3540" w:rsidP="004C5E2B">
      <w:pPr>
        <w:pStyle w:val="Heading1"/>
        <w:numPr>
          <w:ilvl w:val="0"/>
          <w:numId w:val="42"/>
        </w:numPr>
        <w:rPr>
          <w:b w:val="0"/>
        </w:rPr>
      </w:pPr>
      <w:r w:rsidRPr="004C5E2B">
        <w:rPr>
          <w:rFonts w:ascii="Calibri" w:hAnsi="Calibri"/>
          <w:color w:val="auto"/>
          <w:sz w:val="22"/>
          <w:szCs w:val="22"/>
        </w:rPr>
        <w:t>Dementia</w:t>
      </w:r>
      <w:r w:rsidR="00D437ED" w:rsidRPr="004C5E2B">
        <w:rPr>
          <w:rFonts w:ascii="Calibri" w:hAnsi="Calibri"/>
          <w:color w:val="auto"/>
          <w:sz w:val="22"/>
          <w:szCs w:val="22"/>
        </w:rPr>
        <w:t xml:space="preserve">, </w:t>
      </w:r>
      <w:r w:rsidRPr="004C5E2B">
        <w:rPr>
          <w:rFonts w:ascii="Calibri" w:hAnsi="Calibri"/>
          <w:color w:val="auto"/>
          <w:sz w:val="22"/>
          <w:szCs w:val="22"/>
        </w:rPr>
        <w:t>Nursing Home Use</w:t>
      </w:r>
      <w:r w:rsidR="00D437ED" w:rsidRPr="004C5E2B">
        <w:rPr>
          <w:rFonts w:ascii="Calibri" w:hAnsi="Calibri"/>
          <w:color w:val="auto"/>
          <w:sz w:val="22"/>
          <w:szCs w:val="22"/>
        </w:rPr>
        <w:t>, and Interventions</w:t>
      </w:r>
    </w:p>
    <w:p w14:paraId="3BAA60C1" w14:textId="3169FB60" w:rsidR="00DC3540" w:rsidRPr="00427BD7" w:rsidRDefault="002E3511" w:rsidP="00DC3540">
      <w:pPr>
        <w:spacing w:line="240" w:lineRule="auto"/>
      </w:pPr>
      <w:r w:rsidRPr="00427BD7">
        <w:t xml:space="preserve">Cognitive impairment is a major risk factor for nursing home use and dementia is one of the major causes of </w:t>
      </w:r>
      <w:r w:rsidR="00A76635" w:rsidRPr="00427BD7">
        <w:t>such impairment</w:t>
      </w:r>
      <w:r w:rsidRPr="00427BD7">
        <w:t xml:space="preserve"> among older adults.  Thirty-two percent</w:t>
      </w:r>
      <w:r w:rsidR="00DC3540" w:rsidRPr="00427BD7">
        <w:t xml:space="preserve"> of adults aged 85 and older have the condition (Alzheimer’s Association, 2016)</w:t>
      </w:r>
      <w:r w:rsidR="00A76635" w:rsidRPr="00427BD7">
        <w:t xml:space="preserve"> and a</w:t>
      </w:r>
      <w:r w:rsidR="00DC3540" w:rsidRPr="00427BD7">
        <w:t xml:space="preserve">bout 60% of </w:t>
      </w:r>
      <w:r w:rsidR="008F4128" w:rsidRPr="00427BD7">
        <w:t xml:space="preserve">nursing home </w:t>
      </w:r>
      <w:r w:rsidR="00DC3540" w:rsidRPr="00427BD7">
        <w:t>residents have moderate or severe cognitive impairment</w:t>
      </w:r>
      <w:r w:rsidR="004E4840" w:rsidRPr="00427BD7">
        <w:t xml:space="preserve"> (CMS</w:t>
      </w:r>
      <w:r w:rsidR="00DC3540" w:rsidRPr="00427BD7">
        <w:t xml:space="preserve">, 2015).  </w:t>
      </w:r>
      <w:r w:rsidR="00D437ED" w:rsidRPr="00427BD7">
        <w:t>Severity of</w:t>
      </w:r>
      <w:r w:rsidR="00751FF7" w:rsidRPr="00427BD7">
        <w:t xml:space="preserve"> </w:t>
      </w:r>
      <w:r w:rsidR="00DC3540" w:rsidRPr="00427BD7">
        <w:t xml:space="preserve">cognitive and physical functional impairment </w:t>
      </w:r>
      <w:r w:rsidR="000824E8" w:rsidRPr="00427BD7">
        <w:t xml:space="preserve">significantly increases </w:t>
      </w:r>
      <w:r w:rsidR="00D437ED" w:rsidRPr="00427BD7">
        <w:t>the risk of people with dementia using a nursing home.  So do</w:t>
      </w:r>
      <w:r w:rsidR="00DC3540" w:rsidRPr="00427BD7">
        <w:t xml:space="preserve"> behavioral symptoms </w:t>
      </w:r>
      <w:r w:rsidR="00D437ED" w:rsidRPr="00427BD7">
        <w:t>and f</w:t>
      </w:r>
      <w:r w:rsidR="00DC3540" w:rsidRPr="00427BD7">
        <w:t xml:space="preserve">amily caregiver stress (Gaugler </w:t>
      </w:r>
      <w:r w:rsidR="00427BD7">
        <w:t>et al.,</w:t>
      </w:r>
      <w:r w:rsidR="00DC3540" w:rsidRPr="00427BD7">
        <w:t xml:space="preserve"> 2009).</w:t>
      </w:r>
    </w:p>
    <w:p w14:paraId="124E8F41" w14:textId="4BDC5B49" w:rsidR="00DC3540" w:rsidRPr="00427BD7" w:rsidRDefault="00DC3540" w:rsidP="00DC3540">
      <w:pPr>
        <w:spacing w:line="240" w:lineRule="auto"/>
      </w:pPr>
      <w:r w:rsidRPr="00427BD7">
        <w:t>A longitudinal study of older adult participants in the Medicare Alzheimer’s Disease Demonstration (1989-1994) examined the risk of nursing home use for people with dementia. The participants came from 8 sites across the country and were followed for 3 years.  All behavioral symptoms predicted nursing home use; th</w:t>
      </w:r>
      <w:r w:rsidR="004E4840" w:rsidRPr="00427BD7">
        <w:t xml:space="preserve">e </w:t>
      </w:r>
      <w:r w:rsidRPr="00427BD7">
        <w:t xml:space="preserve">strongest predictors were “danger to self or others, forgets what day it is, loses or misplaces things, wakes caregiver up at night, hides things, and thinks things are not there.”  For all behavioral symptoms, caregiver stress affected risk of nursing home use (Gaugler </w:t>
      </w:r>
      <w:r w:rsidR="00427BD7">
        <w:t>et al.,</w:t>
      </w:r>
      <w:r w:rsidRPr="00427BD7">
        <w:t xml:space="preserve"> 2011).</w:t>
      </w:r>
    </w:p>
    <w:p w14:paraId="5D0A9328" w14:textId="305CEC8F" w:rsidR="0021470F" w:rsidRPr="00427BD7" w:rsidRDefault="0021470F" w:rsidP="00DC3540">
      <w:pPr>
        <w:spacing w:line="240" w:lineRule="auto"/>
      </w:pPr>
      <w:r w:rsidRPr="00427BD7">
        <w:t xml:space="preserve">Since </w:t>
      </w:r>
      <w:r w:rsidR="00C805B0" w:rsidRPr="00427BD7">
        <w:t xml:space="preserve">the major cause of </w:t>
      </w:r>
      <w:r w:rsidRPr="00427BD7">
        <w:t>cognitive impairment</w:t>
      </w:r>
      <w:r w:rsidR="00C805B0" w:rsidRPr="00427BD7">
        <w:t xml:space="preserve"> among older adults is dementia</w:t>
      </w:r>
      <w:r w:rsidRPr="00427BD7">
        <w:t>, states could</w:t>
      </w:r>
      <w:r w:rsidR="00C805B0" w:rsidRPr="00427BD7">
        <w:t xml:space="preserve"> benefit from using</w:t>
      </w:r>
      <w:r w:rsidRPr="00427BD7">
        <w:t xml:space="preserve"> use evide</w:t>
      </w:r>
      <w:r w:rsidR="007852FB" w:rsidRPr="00427BD7">
        <w:t>nce-based approaches to enable</w:t>
      </w:r>
      <w:r w:rsidRPr="00427BD7">
        <w:t xml:space="preserve"> this population to remain in the community </w:t>
      </w:r>
      <w:r w:rsidR="00D71F97" w:rsidRPr="00427BD7">
        <w:t xml:space="preserve">longer </w:t>
      </w:r>
      <w:r w:rsidRPr="00427BD7">
        <w:t>with the help of family caregivers.  There is much research that i</w:t>
      </w:r>
      <w:r w:rsidR="00C805B0" w:rsidRPr="00427BD7">
        <w:t>ndicates how to do</w:t>
      </w:r>
      <w:r w:rsidRPr="00427BD7">
        <w:t xml:space="preserve"> this and some examples of states that have developed HCBS systems capable of serving those with dementia. </w:t>
      </w:r>
    </w:p>
    <w:p w14:paraId="57F68FC0" w14:textId="77777777" w:rsidR="00DC3540" w:rsidRPr="00427BD7" w:rsidRDefault="00DC3540" w:rsidP="002242C1">
      <w:pPr>
        <w:pStyle w:val="Heading1"/>
        <w:numPr>
          <w:ilvl w:val="0"/>
          <w:numId w:val="42"/>
        </w:numPr>
        <w:rPr>
          <w:b w:val="0"/>
        </w:rPr>
      </w:pPr>
      <w:r w:rsidRPr="002242C1">
        <w:rPr>
          <w:rFonts w:ascii="Calibri" w:hAnsi="Calibri"/>
          <w:color w:val="auto"/>
          <w:sz w:val="22"/>
          <w:szCs w:val="22"/>
        </w:rPr>
        <w:t>Interventions for People with Dementia and their Family Caregivers</w:t>
      </w:r>
    </w:p>
    <w:p w14:paraId="28F59716" w14:textId="2E9BB77D" w:rsidR="00DC3540" w:rsidRPr="00427BD7" w:rsidRDefault="00DC3540" w:rsidP="00DC3540">
      <w:pPr>
        <w:spacing w:line="240" w:lineRule="auto"/>
      </w:pPr>
      <w:r w:rsidRPr="00427BD7">
        <w:t>Tailoring services to the unique needs of older adults with dementia and their family caregivers through a “person-centered” approach</w:t>
      </w:r>
      <w:r w:rsidR="00F76A9E" w:rsidRPr="00427BD7">
        <w:t xml:space="preserve"> could help states target their services to the unique needs of this high risk population.  </w:t>
      </w:r>
      <w:r w:rsidRPr="00427BD7">
        <w:t>Person-centered planning is a process directed by the person with LTSS needs. The person-centered planning approach identifies the person’s strengths, goals, pref</w:t>
      </w:r>
      <w:r w:rsidR="008F4128" w:rsidRPr="00427BD7">
        <w:t>erences, needs (medical and LTSS</w:t>
      </w:r>
      <w:r w:rsidRPr="00427BD7">
        <w:t>), and desired outcomes. The role of family, staff, and other team members is to enable and assist the person to identify and access a unique mix of paid and unpaid services to meet their needs, and to provide support during planning and implementation</w:t>
      </w:r>
      <w:r w:rsidR="00A76635" w:rsidRPr="00427BD7">
        <w:t xml:space="preserve"> of a service plan</w:t>
      </w:r>
      <w:r w:rsidRPr="00427BD7">
        <w:t>.</w:t>
      </w:r>
    </w:p>
    <w:p w14:paraId="20B8F741" w14:textId="31D36B27" w:rsidR="00DC3540" w:rsidRPr="00427BD7" w:rsidRDefault="00DC3540" w:rsidP="00DC3540">
      <w:pPr>
        <w:spacing w:line="240" w:lineRule="auto"/>
      </w:pPr>
      <w:r w:rsidRPr="00427BD7">
        <w:lastRenderedPageBreak/>
        <w:t xml:space="preserve">To help states explore a person-centered approach to dementia services for older adults, this section of the issue brief focuses on the literature that discusses </w:t>
      </w:r>
      <w:r w:rsidR="00F76A9E" w:rsidRPr="00427BD7">
        <w:t xml:space="preserve">the </w:t>
      </w:r>
      <w:r w:rsidRPr="00427BD7">
        <w:t>effective</w:t>
      </w:r>
      <w:r w:rsidR="00F76A9E" w:rsidRPr="00427BD7">
        <w:t>ness of specialized dementia services</w:t>
      </w:r>
      <w:r w:rsidRPr="00427BD7">
        <w:t xml:space="preserve">.  </w:t>
      </w:r>
      <w:r w:rsidR="001F50AE" w:rsidRPr="00427BD7">
        <w:t xml:space="preserve">Reilly and colleagues (2015) reviewed case management interventions and found that </w:t>
      </w:r>
      <w:r w:rsidR="00A76635" w:rsidRPr="00427BD7">
        <w:t>they</w:t>
      </w:r>
      <w:r w:rsidR="001F50AE" w:rsidRPr="00427BD7">
        <w:t xml:space="preserve"> can</w:t>
      </w:r>
      <w:r w:rsidR="00C805B0" w:rsidRPr="00427BD7">
        <w:t>: 1)</w:t>
      </w:r>
      <w:r w:rsidR="00A76635" w:rsidRPr="00427BD7">
        <w:t xml:space="preserve"> reduce </w:t>
      </w:r>
      <w:r w:rsidR="001F50AE" w:rsidRPr="00427BD7">
        <w:t>nu</w:t>
      </w:r>
      <w:r w:rsidR="00C805B0" w:rsidRPr="00427BD7">
        <w:t>rsing homes and assisted living</w:t>
      </w:r>
      <w:r w:rsidR="00A76635" w:rsidRPr="00427BD7">
        <w:t xml:space="preserve"> use</w:t>
      </w:r>
      <w:r w:rsidR="00C805B0" w:rsidRPr="00427BD7">
        <w:t xml:space="preserve">, 2) </w:t>
      </w:r>
      <w:r w:rsidR="001F50AE" w:rsidRPr="00427BD7">
        <w:t>improve quality of life for family caregivers</w:t>
      </w:r>
      <w:r w:rsidR="00C805B0" w:rsidRPr="00427BD7">
        <w:t xml:space="preserve">, </w:t>
      </w:r>
      <w:r w:rsidR="001F50AE" w:rsidRPr="00427BD7">
        <w:t xml:space="preserve">and </w:t>
      </w:r>
      <w:r w:rsidR="007852FB" w:rsidRPr="00427BD7">
        <w:t>3</w:t>
      </w:r>
      <w:r w:rsidR="00C805B0" w:rsidRPr="00427BD7">
        <w:t xml:space="preserve">) </w:t>
      </w:r>
      <w:r w:rsidR="001F50AE" w:rsidRPr="00427BD7">
        <w:t xml:space="preserve">reduce the caregivers’ use of hospitals and emergency departments.  </w:t>
      </w:r>
      <w:r w:rsidRPr="00427BD7">
        <w:t>Ruiz and Spafford (2015) concluded that multi-component</w:t>
      </w:r>
      <w:r w:rsidR="001F50AE" w:rsidRPr="00427BD7">
        <w:t xml:space="preserve"> dementia care</w:t>
      </w:r>
      <w:r w:rsidRPr="00427BD7">
        <w:t xml:space="preserve"> interventions that include education, counseling, respite, environmental modification, skills training, and case management can reduce caregivers’ stress and improve their quality of life and delay institutionalization</w:t>
      </w:r>
      <w:r w:rsidR="00A76635" w:rsidRPr="00427BD7">
        <w:t xml:space="preserve"> of the person with dementia</w:t>
      </w:r>
      <w:r w:rsidRPr="00427BD7">
        <w:t xml:space="preserve">. </w:t>
      </w:r>
      <w:r w:rsidR="00D71F97" w:rsidRPr="00427BD7">
        <w:t xml:space="preserve"> </w:t>
      </w:r>
      <w:r w:rsidRPr="00427BD7">
        <w:t xml:space="preserve">Gitlin and colleagues (2015) </w:t>
      </w:r>
      <w:r w:rsidR="00003929" w:rsidRPr="00427BD7">
        <w:t xml:space="preserve">identified many multi-component interventions that resulted in less caregiver stress and better care for the person with dementia.  </w:t>
      </w:r>
      <w:r w:rsidRPr="00427BD7">
        <w:t xml:space="preserve">Van’t Leven and colleagues (2013) found similar positive results during their review. </w:t>
      </w:r>
    </w:p>
    <w:p w14:paraId="72F22DA9" w14:textId="0EF1D8E8" w:rsidR="00DC3540" w:rsidRPr="00427BD7" w:rsidRDefault="00DC3540" w:rsidP="00DC3540">
      <w:pPr>
        <w:spacing w:line="240" w:lineRule="auto"/>
      </w:pPr>
      <w:r w:rsidRPr="00427BD7">
        <w:t xml:space="preserve">Callahan (2014) </w:t>
      </w:r>
      <w:r w:rsidR="00A76635" w:rsidRPr="00427BD7">
        <w:t xml:space="preserve">describes some </w:t>
      </w:r>
      <w:r w:rsidRPr="00427BD7">
        <w:t>common components of quality dementia care interventions.  These include:</w:t>
      </w:r>
    </w:p>
    <w:p w14:paraId="4FCE9D50" w14:textId="77777777" w:rsidR="00DC3540" w:rsidRPr="00427BD7" w:rsidRDefault="00DC3540" w:rsidP="00DC3540">
      <w:pPr>
        <w:pStyle w:val="ListParagraph"/>
        <w:numPr>
          <w:ilvl w:val="0"/>
          <w:numId w:val="28"/>
        </w:numPr>
        <w:spacing w:line="240" w:lineRule="auto"/>
      </w:pPr>
      <w:r w:rsidRPr="00427BD7">
        <w:t>Obtaining a formal diagnosis</w:t>
      </w:r>
    </w:p>
    <w:p w14:paraId="4475D5B6" w14:textId="77777777" w:rsidR="00DC3540" w:rsidRPr="00427BD7" w:rsidRDefault="00DC3540" w:rsidP="00DC3540">
      <w:pPr>
        <w:pStyle w:val="ListParagraph"/>
        <w:numPr>
          <w:ilvl w:val="0"/>
          <w:numId w:val="28"/>
        </w:numPr>
        <w:spacing w:line="240" w:lineRule="auto"/>
      </w:pPr>
      <w:r w:rsidRPr="00427BD7">
        <w:t>Treating any preventable causes of cognitive impairment or disability</w:t>
      </w:r>
    </w:p>
    <w:p w14:paraId="7794842D" w14:textId="394C5602" w:rsidR="00DC3540" w:rsidRPr="00427BD7" w:rsidRDefault="00A76635" w:rsidP="00DC3540">
      <w:pPr>
        <w:pStyle w:val="ListParagraph"/>
        <w:numPr>
          <w:ilvl w:val="0"/>
          <w:numId w:val="28"/>
        </w:numPr>
        <w:spacing w:line="240" w:lineRule="auto"/>
      </w:pPr>
      <w:r w:rsidRPr="00427BD7">
        <w:t>Educating</w:t>
      </w:r>
      <w:r w:rsidR="00DC3540" w:rsidRPr="00427BD7">
        <w:t xml:space="preserve"> people with dementia and their families about the condition and how to manage its behavioral symptoms</w:t>
      </w:r>
    </w:p>
    <w:p w14:paraId="179FA31E" w14:textId="77777777" w:rsidR="00DC3540" w:rsidRPr="00427BD7" w:rsidRDefault="00DC3540" w:rsidP="00DC3540">
      <w:pPr>
        <w:pStyle w:val="ListParagraph"/>
        <w:numPr>
          <w:ilvl w:val="0"/>
          <w:numId w:val="28"/>
        </w:numPr>
      </w:pPr>
      <w:r w:rsidRPr="00427BD7">
        <w:t>Referring people with dementia and their families to specialists, if necessary, and community-based services</w:t>
      </w:r>
    </w:p>
    <w:p w14:paraId="6241779C" w14:textId="77777777" w:rsidR="00DC3540" w:rsidRPr="00427BD7" w:rsidRDefault="00DC3540" w:rsidP="00DC3540">
      <w:pPr>
        <w:pStyle w:val="ListParagraph"/>
        <w:numPr>
          <w:ilvl w:val="0"/>
          <w:numId w:val="28"/>
        </w:numPr>
        <w:spacing w:line="240" w:lineRule="auto"/>
      </w:pPr>
      <w:r w:rsidRPr="00427BD7">
        <w:t>Regularly assessing medication needs, including those that may enhance cognition</w:t>
      </w:r>
    </w:p>
    <w:p w14:paraId="049680FB" w14:textId="408C6A43" w:rsidR="00DC3540" w:rsidRPr="00427BD7" w:rsidRDefault="00DC3540" w:rsidP="00DC3540">
      <w:pPr>
        <w:pStyle w:val="ListParagraph"/>
        <w:numPr>
          <w:ilvl w:val="0"/>
          <w:numId w:val="28"/>
        </w:numPr>
        <w:spacing w:line="240" w:lineRule="auto"/>
      </w:pPr>
      <w:r w:rsidRPr="00427BD7">
        <w:t>Discussing care goals and adjust</w:t>
      </w:r>
      <w:r w:rsidR="00A76635" w:rsidRPr="00427BD7">
        <w:t>ing</w:t>
      </w:r>
      <w:r w:rsidRPr="00427BD7">
        <w:t xml:space="preserve"> them over time</w:t>
      </w:r>
    </w:p>
    <w:p w14:paraId="325D7B38" w14:textId="4B8DB370" w:rsidR="00C805B0" w:rsidRPr="00427BD7" w:rsidRDefault="00DC3540" w:rsidP="00C805B0">
      <w:pPr>
        <w:pStyle w:val="ListParagraph"/>
        <w:numPr>
          <w:ilvl w:val="0"/>
          <w:numId w:val="28"/>
        </w:numPr>
        <w:spacing w:line="240" w:lineRule="auto"/>
      </w:pPr>
      <w:r w:rsidRPr="00427BD7">
        <w:t>Managing co-morbid sym</w:t>
      </w:r>
      <w:r w:rsidR="00C805B0" w:rsidRPr="00427BD7">
        <w:t>ptoms in the context of dementia</w:t>
      </w:r>
    </w:p>
    <w:p w14:paraId="2FF4A21F" w14:textId="17ACD07F" w:rsidR="00C805B0" w:rsidRPr="00427BD7" w:rsidRDefault="00C805B0" w:rsidP="00C805B0">
      <w:pPr>
        <w:spacing w:line="240" w:lineRule="auto"/>
      </w:pPr>
      <w:r w:rsidRPr="00427BD7">
        <w:t xml:space="preserve">Extant blue prints for dementia care can help states improve their HCBS systems. </w:t>
      </w:r>
      <w:r w:rsidR="005856CD" w:rsidRPr="00427BD7">
        <w:t xml:space="preserve"> ACL’s</w:t>
      </w:r>
      <w:r w:rsidR="001B6349">
        <w:t xml:space="preserve"> Alzheimer</w:t>
      </w:r>
      <w:bookmarkStart w:id="0" w:name="_GoBack"/>
      <w:bookmarkEnd w:id="0"/>
      <w:r w:rsidRPr="00427BD7">
        <w:t xml:space="preserve">s Disease Supportive Services Program has fostered dementia </w:t>
      </w:r>
      <w:r w:rsidR="005856CD" w:rsidRPr="00427BD7">
        <w:t>capable HCBS</w:t>
      </w:r>
      <w:r w:rsidRPr="00427BD7">
        <w:t xml:space="preserve"> systems and successfully translated evidence-based interventions into community settings.</w:t>
      </w:r>
      <w:r w:rsidR="00B47864" w:rsidRPr="00427BD7">
        <w:rPr>
          <w:rStyle w:val="FootnoteReference"/>
        </w:rPr>
        <w:footnoteReference w:id="9"/>
      </w:r>
      <w:r w:rsidR="00B47864" w:rsidRPr="00427BD7">
        <w:t xml:space="preserve"> </w:t>
      </w:r>
      <w:r w:rsidRPr="00427BD7">
        <w:t xml:space="preserve"> The experiences of grantees offer </w:t>
      </w:r>
      <w:r w:rsidR="00A76635" w:rsidRPr="00427BD7">
        <w:t xml:space="preserve">guidance </w:t>
      </w:r>
      <w:r w:rsidRPr="00427BD7">
        <w:t>to other states wishing to make progress in this area.  In addition, CMS has funded several demonstrations of dementia care interventions through its Center for Medicare and Medicaid Innovations (CMMI).</w:t>
      </w:r>
    </w:p>
    <w:p w14:paraId="3076D2B0" w14:textId="77777777" w:rsidR="00CF40DF" w:rsidRPr="00427BD7" w:rsidRDefault="00BD050F" w:rsidP="002242C1">
      <w:pPr>
        <w:pStyle w:val="Heading1"/>
        <w:numPr>
          <w:ilvl w:val="0"/>
          <w:numId w:val="42"/>
        </w:numPr>
        <w:rPr>
          <w:b w:val="0"/>
        </w:rPr>
      </w:pPr>
      <w:r w:rsidRPr="002242C1">
        <w:rPr>
          <w:rFonts w:ascii="Calibri" w:hAnsi="Calibri"/>
          <w:color w:val="auto"/>
          <w:sz w:val="22"/>
          <w:szCs w:val="22"/>
        </w:rPr>
        <w:t>Conclusions</w:t>
      </w:r>
    </w:p>
    <w:p w14:paraId="1EA1969D" w14:textId="3F3A8598" w:rsidR="006350BD" w:rsidRPr="00427BD7" w:rsidRDefault="00091C0A" w:rsidP="00017A6B">
      <w:pPr>
        <w:spacing w:line="240" w:lineRule="auto"/>
      </w:pPr>
      <w:r w:rsidRPr="00427BD7">
        <w:t>O</w:t>
      </w:r>
      <w:r w:rsidR="006350BD" w:rsidRPr="00427BD7">
        <w:t>lder adult Medicaid beneficiaries who use LTSS</w:t>
      </w:r>
      <w:r w:rsidR="00D437ED" w:rsidRPr="00427BD7">
        <w:t xml:space="preserve"> more often </w:t>
      </w:r>
      <w:r w:rsidR="00BD050F" w:rsidRPr="00427BD7">
        <w:t>live in nursing homes</w:t>
      </w:r>
      <w:r w:rsidR="006350BD" w:rsidRPr="00427BD7">
        <w:t xml:space="preserve"> than younger adults, despite the applicability of the </w:t>
      </w:r>
      <w:r w:rsidR="006350BD" w:rsidRPr="00427BD7">
        <w:rPr>
          <w:i/>
        </w:rPr>
        <w:t>Olmstead</w:t>
      </w:r>
      <w:r w:rsidR="006350BD" w:rsidRPr="00427BD7">
        <w:t xml:space="preserve"> decision</w:t>
      </w:r>
      <w:r w:rsidR="00A76635" w:rsidRPr="00427BD7">
        <w:t xml:space="preserve"> to everyone with disabilities</w:t>
      </w:r>
      <w:r w:rsidR="006350BD" w:rsidRPr="00427BD7">
        <w:t>.  The situation for older adults</w:t>
      </w:r>
      <w:r w:rsidR="00A76635" w:rsidRPr="00427BD7">
        <w:t xml:space="preserve"> and others using Medicaid LTSS</w:t>
      </w:r>
      <w:r w:rsidR="00BD050F" w:rsidRPr="00427BD7">
        <w:t xml:space="preserve"> varies markedly among the states</w:t>
      </w:r>
      <w:r w:rsidR="00A76635" w:rsidRPr="00427BD7">
        <w:t>, with many</w:t>
      </w:r>
      <w:r w:rsidR="006350BD" w:rsidRPr="00427BD7">
        <w:t xml:space="preserve"> devoting over half of their spending to HCBS and many others doing much less</w:t>
      </w:r>
      <w:r w:rsidR="00A76635" w:rsidRPr="00427BD7">
        <w:t>.</w:t>
      </w:r>
      <w:r w:rsidR="00BD050F" w:rsidRPr="00427BD7">
        <w:t xml:space="preserve"> </w:t>
      </w:r>
      <w:r w:rsidR="00A76635" w:rsidRPr="00427BD7">
        <w:t xml:space="preserve"> Thus, some </w:t>
      </w:r>
      <w:r w:rsidR="006350BD" w:rsidRPr="00427BD7">
        <w:t>states have much room for improving their LTSS systems by providing more HCBS to those older adults who prefer to remain at home or in the community.</w:t>
      </w:r>
    </w:p>
    <w:p w14:paraId="711DC0D9" w14:textId="08A414E3" w:rsidR="00A76635" w:rsidRPr="00427BD7" w:rsidRDefault="006350BD" w:rsidP="00017A6B">
      <w:pPr>
        <w:spacing w:line="240" w:lineRule="auto"/>
      </w:pPr>
      <w:r w:rsidRPr="00427BD7">
        <w:t>Older adults most at risk o</w:t>
      </w:r>
      <w:r w:rsidR="00A76635" w:rsidRPr="00427BD7">
        <w:t>f using nursing homes are those</w:t>
      </w:r>
      <w:r w:rsidRPr="00427BD7">
        <w:t xml:space="preserve"> </w:t>
      </w:r>
      <w:r w:rsidR="00611228" w:rsidRPr="00427BD7">
        <w:t>aged 85 and over,</w:t>
      </w:r>
      <w:r w:rsidR="000932EB" w:rsidRPr="00427BD7">
        <w:t xml:space="preserve"> or</w:t>
      </w:r>
      <w:r w:rsidR="00BD050F" w:rsidRPr="00427BD7">
        <w:t xml:space="preserve"> </w:t>
      </w:r>
      <w:r w:rsidRPr="00427BD7">
        <w:t xml:space="preserve">who have </w:t>
      </w:r>
      <w:r w:rsidR="00BD050F" w:rsidRPr="00427BD7">
        <w:t>cogni</w:t>
      </w:r>
      <w:r w:rsidR="007852FB" w:rsidRPr="00427BD7">
        <w:t>tive impairment, poor health</w:t>
      </w:r>
      <w:r w:rsidR="00F4252B" w:rsidRPr="00427BD7">
        <w:t>, or</w:t>
      </w:r>
      <w:r w:rsidR="00BD050F" w:rsidRPr="00427BD7">
        <w:t xml:space="preserve"> have severe disabilities</w:t>
      </w:r>
      <w:r w:rsidRPr="00427BD7">
        <w:t>.</w:t>
      </w:r>
      <w:r w:rsidR="00BD050F" w:rsidRPr="00427BD7">
        <w:t xml:space="preserve"> Studies</w:t>
      </w:r>
      <w:r w:rsidR="005856CD" w:rsidRPr="00427BD7">
        <w:t xml:space="preserve"> show that older adults in states</w:t>
      </w:r>
      <w:r w:rsidR="00BD050F" w:rsidRPr="00427BD7">
        <w:t xml:space="preserve"> with more </w:t>
      </w:r>
      <w:r w:rsidR="005F624D" w:rsidRPr="00427BD7">
        <w:t xml:space="preserve">Medicaid and Older Americans Act </w:t>
      </w:r>
      <w:r w:rsidR="00F4252B" w:rsidRPr="00427BD7">
        <w:t xml:space="preserve">spending on </w:t>
      </w:r>
      <w:r w:rsidR="00A76635" w:rsidRPr="00427BD7">
        <w:t>HCBS are more</w:t>
      </w:r>
      <w:r w:rsidR="00BD050F" w:rsidRPr="00427BD7">
        <w:t xml:space="preserve"> likely to </w:t>
      </w:r>
      <w:r w:rsidR="00AD6137" w:rsidRPr="00427BD7">
        <w:t xml:space="preserve">be able to avoid nursing homes and there are </w:t>
      </w:r>
      <w:r w:rsidR="00B86F1E" w:rsidRPr="00427BD7">
        <w:t>effective interventions that could</w:t>
      </w:r>
      <w:r w:rsidR="00AD6137" w:rsidRPr="00427BD7">
        <w:t xml:space="preserve"> help people with dementia and their family care</w:t>
      </w:r>
      <w:r w:rsidR="00A76635" w:rsidRPr="00427BD7">
        <w:t xml:space="preserve">givers </w:t>
      </w:r>
      <w:r w:rsidR="00A76635" w:rsidRPr="00427BD7">
        <w:lastRenderedPageBreak/>
        <w:t>do so</w:t>
      </w:r>
      <w:r w:rsidR="00AD6137" w:rsidRPr="00427BD7">
        <w:t xml:space="preserve">. </w:t>
      </w:r>
      <w:r w:rsidR="000F6166" w:rsidRPr="00427BD7">
        <w:t xml:space="preserve"> States could take advantage of </w:t>
      </w:r>
      <w:r w:rsidR="00A76635" w:rsidRPr="00427BD7">
        <w:t>extant research and</w:t>
      </w:r>
      <w:r w:rsidR="005856CD" w:rsidRPr="00427BD7">
        <w:t xml:space="preserve"> their flexibility under</w:t>
      </w:r>
      <w:r w:rsidR="000F6166" w:rsidRPr="00427BD7">
        <w:t xml:space="preserve"> Medicaid to target Medicaid HCBS to those most at risk of needing nursing homes and their family caregivers early enough to avoid institutionalization.</w:t>
      </w:r>
    </w:p>
    <w:p w14:paraId="3B558795" w14:textId="1E3B4676" w:rsidR="00395898" w:rsidRPr="00427BD7" w:rsidRDefault="00A76635" w:rsidP="00017A6B">
      <w:pPr>
        <w:spacing w:line="240" w:lineRule="auto"/>
      </w:pPr>
      <w:r w:rsidRPr="00427BD7">
        <w:t>F</w:t>
      </w:r>
      <w:r w:rsidR="00AD6137" w:rsidRPr="00427BD7">
        <w:t xml:space="preserve">ocus on the population with dementia is important because </w:t>
      </w:r>
      <w:r w:rsidR="007852FB" w:rsidRPr="00427BD7">
        <w:t xml:space="preserve">their </w:t>
      </w:r>
      <w:r w:rsidR="00395898" w:rsidRPr="00427BD7">
        <w:t>caregi</w:t>
      </w:r>
      <w:r w:rsidR="007852FB" w:rsidRPr="00427BD7">
        <w:t>vers</w:t>
      </w:r>
      <w:r w:rsidR="00395898" w:rsidRPr="00427BD7">
        <w:t xml:space="preserve"> experience more stress than those caring for people with disabilities who do not have dementia</w:t>
      </w:r>
      <w:r w:rsidR="00CB762A" w:rsidRPr="00427BD7">
        <w:t xml:space="preserve"> </w:t>
      </w:r>
      <w:r w:rsidR="00EF04CD" w:rsidRPr="00427BD7">
        <w:t>(Kasp</w:t>
      </w:r>
      <w:r w:rsidR="004B2C5E" w:rsidRPr="00427BD7">
        <w:t>e</w:t>
      </w:r>
      <w:r w:rsidR="00EF04CD" w:rsidRPr="00427BD7">
        <w:t xml:space="preserve">r </w:t>
      </w:r>
      <w:r w:rsidR="00427BD7">
        <w:t>et al.,</w:t>
      </w:r>
      <w:r w:rsidR="00EF04CD" w:rsidRPr="00427BD7">
        <w:t xml:space="preserve"> 2015)</w:t>
      </w:r>
      <w:r w:rsidR="00395898" w:rsidRPr="00427BD7">
        <w:t>.  Further, several recent literatu</w:t>
      </w:r>
      <w:r w:rsidR="00A61D64">
        <w:t>re reviews show that case manage</w:t>
      </w:r>
      <w:r w:rsidR="00395898" w:rsidRPr="00427BD7">
        <w:t>ment and specialized services can reduce caregiver stress and potentially use of nursing homes for this population</w:t>
      </w:r>
      <w:r w:rsidRPr="00427BD7">
        <w:t>.</w:t>
      </w:r>
      <w:r w:rsidR="00395898" w:rsidRPr="00427BD7">
        <w:t xml:space="preserve"> </w:t>
      </w:r>
    </w:p>
    <w:p w14:paraId="0552D22A" w14:textId="22C22C39" w:rsidR="008E66A5" w:rsidRPr="00427BD7" w:rsidRDefault="00597E63" w:rsidP="00017A6B">
      <w:pPr>
        <w:spacing w:line="240" w:lineRule="auto"/>
      </w:pPr>
      <w:r w:rsidRPr="00427BD7">
        <w:t>States vary in their approach</w:t>
      </w:r>
      <w:r w:rsidR="005856CD" w:rsidRPr="00427BD7">
        <w:t xml:space="preserve"> to providing HCBS and in their functional criteria for nursing home care</w:t>
      </w:r>
      <w:r w:rsidR="00541CEA" w:rsidRPr="00427BD7">
        <w:t xml:space="preserve"> and most could be doing more to promote community living for older adults.  States</w:t>
      </w:r>
      <w:r w:rsidRPr="00427BD7">
        <w:t xml:space="preserve"> </w:t>
      </w:r>
      <w:r w:rsidR="00AD6137" w:rsidRPr="00427BD7">
        <w:t>a</w:t>
      </w:r>
      <w:r w:rsidR="000E4679" w:rsidRPr="00427BD7">
        <w:t xml:space="preserve">lso </w:t>
      </w:r>
      <w:r w:rsidRPr="00427BD7">
        <w:t xml:space="preserve">can </w:t>
      </w:r>
      <w:r w:rsidR="000E4679" w:rsidRPr="00427BD7">
        <w:t xml:space="preserve">exert more pressure on nursing </w:t>
      </w:r>
      <w:r w:rsidR="00AD6137" w:rsidRPr="00427BD7">
        <w:t xml:space="preserve">homes to honor the preferences residents express to leave the facility.  In the process, states may </w:t>
      </w:r>
      <w:r w:rsidR="00F4252B" w:rsidRPr="00427BD7">
        <w:t xml:space="preserve">realize </w:t>
      </w:r>
      <w:r w:rsidRPr="00427BD7">
        <w:t>slower growth in overall LTSS</w:t>
      </w:r>
      <w:r w:rsidR="007852FB" w:rsidRPr="00427BD7">
        <w:t>,</w:t>
      </w:r>
      <w:r w:rsidRPr="00427BD7">
        <w:t xml:space="preserve"> if they invest heavily in Medicaid HCBS (</w:t>
      </w:r>
      <w:r w:rsidR="00945234" w:rsidRPr="00427BD7">
        <w:t xml:space="preserve">Kaye </w:t>
      </w:r>
      <w:r w:rsidR="00427BD7">
        <w:t>et al.,</w:t>
      </w:r>
      <w:r w:rsidRPr="00427BD7">
        <w:t xml:space="preserve"> </w:t>
      </w:r>
      <w:r w:rsidR="00945234" w:rsidRPr="00427BD7">
        <w:t>2009)</w:t>
      </w:r>
    </w:p>
    <w:p w14:paraId="66E2A562" w14:textId="26E7A6C8" w:rsidR="00427BD7" w:rsidRDefault="00427BD7">
      <w:r>
        <w:br w:type="page"/>
      </w:r>
    </w:p>
    <w:p w14:paraId="456FB6DC" w14:textId="5DD3CA91" w:rsidR="006060DB" w:rsidRPr="00427BD7" w:rsidRDefault="00684B44" w:rsidP="00427BD7">
      <w:pPr>
        <w:spacing w:line="240" w:lineRule="auto"/>
        <w:jc w:val="center"/>
        <w:rPr>
          <w:b/>
        </w:rPr>
      </w:pPr>
      <w:r w:rsidRPr="00427BD7">
        <w:rPr>
          <w:b/>
          <w:sz w:val="24"/>
          <w:szCs w:val="24"/>
        </w:rPr>
        <w:lastRenderedPageBreak/>
        <w:t>References</w:t>
      </w:r>
    </w:p>
    <w:p w14:paraId="69C6ED83" w14:textId="77777777" w:rsidR="00CF40DF" w:rsidRPr="00427BD7" w:rsidRDefault="0045718A" w:rsidP="00427BD7">
      <w:pPr>
        <w:spacing w:line="240" w:lineRule="auto"/>
        <w:ind w:left="360"/>
      </w:pPr>
      <w:r w:rsidRPr="00427BD7">
        <w:t xml:space="preserve">Allen SM, Lima Jc, Goldscheider FK, Roy J, “ Primary Caregiver Characteristics and Transitions in Community-Based Care,” </w:t>
      </w:r>
      <w:r w:rsidRPr="00427BD7">
        <w:rPr>
          <w:i/>
        </w:rPr>
        <w:t>The Journals of Gerontology, Series B: Psychological Sciences and Social Sciences</w:t>
      </w:r>
      <w:r w:rsidRPr="00427BD7">
        <w:t>, 2012, vol.67, issue3, pgs 362-371.</w:t>
      </w:r>
    </w:p>
    <w:p w14:paraId="1C74EFFB" w14:textId="1F6BB74D" w:rsidR="007D10EA" w:rsidRPr="00427BD7" w:rsidRDefault="007D10EA" w:rsidP="00427BD7">
      <w:pPr>
        <w:spacing w:line="240" w:lineRule="auto"/>
        <w:ind w:left="360"/>
      </w:pPr>
      <w:r w:rsidRPr="00427BD7">
        <w:t xml:space="preserve">Alzheimer’s Association, </w:t>
      </w:r>
      <w:r w:rsidRPr="00427BD7">
        <w:rPr>
          <w:i/>
        </w:rPr>
        <w:t>2016 Alzheimer’s Disease Facts and Figures</w:t>
      </w:r>
      <w:r w:rsidRPr="00427BD7">
        <w:t xml:space="preserve">.  </w:t>
      </w:r>
    </w:p>
    <w:p w14:paraId="0F92A165" w14:textId="77777777" w:rsidR="00975F3C" w:rsidRPr="00427BD7" w:rsidRDefault="00975F3C" w:rsidP="00427BD7">
      <w:pPr>
        <w:spacing w:line="240" w:lineRule="auto"/>
        <w:ind w:left="360"/>
      </w:pPr>
      <w:r w:rsidRPr="00427BD7">
        <w:t xml:space="preserve">Blackburn J, Locher J, Morrisey M, Becker D, Kilgore M, “The Effects of State-level Expenditures for Home- and-community-based Services on the Risk of Becoming a Long-stay Nursing Home Resident after Hip Fracture,” </w:t>
      </w:r>
      <w:r w:rsidRPr="00427BD7">
        <w:rPr>
          <w:i/>
        </w:rPr>
        <w:t>Osteoporosis International</w:t>
      </w:r>
      <w:r w:rsidRPr="00427BD7">
        <w:t xml:space="preserve">, published online on September 23, 2015. </w:t>
      </w:r>
    </w:p>
    <w:p w14:paraId="07465B43" w14:textId="77777777" w:rsidR="00CF40DF" w:rsidRPr="00427BD7" w:rsidRDefault="00CF40DF" w:rsidP="00427BD7">
      <w:pPr>
        <w:spacing w:line="240" w:lineRule="auto"/>
        <w:ind w:left="360"/>
      </w:pPr>
      <w:r w:rsidRPr="00427BD7">
        <w:t xml:space="preserve">Cai X, Temkin-Greener H, “Nursing Home Admissions among Medicaid HCBS Enrollees,” </w:t>
      </w:r>
      <w:r w:rsidRPr="00427BD7">
        <w:rPr>
          <w:i/>
        </w:rPr>
        <w:t>Medical Care</w:t>
      </w:r>
      <w:r w:rsidRPr="00427BD7">
        <w:t>, 2015, vol.53, no.7, pgs.566-573.</w:t>
      </w:r>
    </w:p>
    <w:p w14:paraId="3127DC54" w14:textId="77777777" w:rsidR="00483C50" w:rsidRPr="00427BD7" w:rsidRDefault="00483C50" w:rsidP="00427BD7">
      <w:pPr>
        <w:spacing w:line="240" w:lineRule="auto"/>
        <w:ind w:left="360"/>
      </w:pPr>
      <w:r w:rsidRPr="00427BD7">
        <w:t>Callahan C, Sachs G, LaMantia K, Unroe K, Arling G, Boustani M, “Redesigning systems fo Care for Older Adults with Alzheimer’s Disease,” Health Affairs, 2014, vol.33, no.4, pgs.626-632.</w:t>
      </w:r>
    </w:p>
    <w:p w14:paraId="613C44D3" w14:textId="77777777" w:rsidR="001E153F" w:rsidRPr="00427BD7" w:rsidRDefault="001E153F" w:rsidP="00427BD7">
      <w:pPr>
        <w:spacing w:line="240" w:lineRule="auto"/>
        <w:ind w:left="360"/>
      </w:pPr>
      <w:r w:rsidRPr="00427BD7">
        <w:t xml:space="preserve">Castora-Binkley M, Hongdao M, Hyer K, “Predictors of Long-Term Nursing Home Placement under Competing Risk: Evidence from the Health and Retirement Study,” </w:t>
      </w:r>
      <w:r w:rsidRPr="00427BD7">
        <w:rPr>
          <w:i/>
        </w:rPr>
        <w:t>Journal of the American Geriatric Society</w:t>
      </w:r>
      <w:r w:rsidRPr="00427BD7">
        <w:t xml:space="preserve">, 2014, vol.62, pgs.913-918. </w:t>
      </w:r>
    </w:p>
    <w:p w14:paraId="3EA9FE89" w14:textId="3948AF63" w:rsidR="00467EFF" w:rsidRPr="00427BD7" w:rsidRDefault="00467EFF" w:rsidP="00427BD7">
      <w:pPr>
        <w:spacing w:line="240" w:lineRule="auto"/>
        <w:ind w:left="360"/>
      </w:pPr>
      <w:r w:rsidRPr="00427BD7">
        <w:t>Centers for Medicare and Medicaid Services, Nursing Home Data Compend</w:t>
      </w:r>
      <w:r w:rsidR="002242C1">
        <w:t>ium 2015 edition</w:t>
      </w:r>
      <w:r w:rsidRPr="00427BD7">
        <w:t>.</w:t>
      </w:r>
    </w:p>
    <w:p w14:paraId="2E983813" w14:textId="0BB06772" w:rsidR="00D67A93" w:rsidRPr="00427BD7" w:rsidRDefault="00D67A93" w:rsidP="00427BD7">
      <w:pPr>
        <w:spacing w:line="240" w:lineRule="auto"/>
        <w:ind w:left="360"/>
      </w:pPr>
      <w:r w:rsidRPr="00427BD7">
        <w:t xml:space="preserve">Department of Health and Human Services, Administration for Community Living, </w:t>
      </w:r>
      <w:r w:rsidRPr="00427BD7">
        <w:rPr>
          <w:i/>
        </w:rPr>
        <w:t xml:space="preserve">Justification of Estimates for Appropriations Committee, Fiscal Year 2017. </w:t>
      </w:r>
      <w:r w:rsidR="002242C1">
        <w:t>Accessed on May 31</w:t>
      </w:r>
      <w:r w:rsidRPr="00427BD7">
        <w:t>, 2016.</w:t>
      </w:r>
    </w:p>
    <w:p w14:paraId="3D954CA2" w14:textId="7A0B7C1C" w:rsidR="00CF245F" w:rsidRPr="00427BD7" w:rsidRDefault="006D750D" w:rsidP="00427BD7">
      <w:pPr>
        <w:spacing w:line="240" w:lineRule="auto"/>
        <w:ind w:left="360"/>
      </w:pPr>
      <w:r w:rsidRPr="00427BD7">
        <w:t xml:space="preserve">Department of Justice, Civil Rights Division, </w:t>
      </w:r>
      <w:r w:rsidRPr="00427BD7">
        <w:rPr>
          <w:i/>
        </w:rPr>
        <w:t>Information and Technical Assistance on the Americans with Disabilities Act</w:t>
      </w:r>
      <w:r w:rsidR="002242C1">
        <w:t xml:space="preserve">, Accessed </w:t>
      </w:r>
      <w:r w:rsidRPr="00427BD7">
        <w:t>on May 16, 2016.</w:t>
      </w:r>
      <w:r w:rsidR="00245E03" w:rsidRPr="00427BD7">
        <w:t xml:space="preserve"> </w:t>
      </w:r>
    </w:p>
    <w:p w14:paraId="3FFF22B9" w14:textId="4D730510" w:rsidR="002C51EB" w:rsidRPr="00427BD7" w:rsidRDefault="002C51EB" w:rsidP="00427BD7">
      <w:pPr>
        <w:spacing w:line="240" w:lineRule="auto"/>
        <w:ind w:left="360"/>
      </w:pPr>
      <w:r w:rsidRPr="00427BD7">
        <w:t xml:space="preserve">Eiken S, Sredl K, Burwell B, Saucier P, </w:t>
      </w:r>
      <w:r w:rsidRPr="00427BD7">
        <w:rPr>
          <w:i/>
        </w:rPr>
        <w:t>Medicaid Expenditures for Long-Term Services and Supports (LTSS) in FY 2014:</w:t>
      </w:r>
      <w:r w:rsidRPr="00427BD7">
        <w:t xml:space="preserve"> </w:t>
      </w:r>
      <w:r w:rsidRPr="00427BD7">
        <w:rPr>
          <w:i/>
        </w:rPr>
        <w:t xml:space="preserve">Managed LTSS Reached 15 Percent of LTSS Spending, </w:t>
      </w:r>
      <w:r w:rsidRPr="00427BD7">
        <w:t>Truven Health Analytics, April 2016.</w:t>
      </w:r>
    </w:p>
    <w:p w14:paraId="23A9BC05" w14:textId="77777777" w:rsidR="00327E73" w:rsidRPr="00427BD7" w:rsidRDefault="00327E73" w:rsidP="00427BD7">
      <w:pPr>
        <w:spacing w:line="240" w:lineRule="auto"/>
        <w:ind w:left="360"/>
        <w:rPr>
          <w:b/>
        </w:rPr>
      </w:pPr>
      <w:r w:rsidRPr="00427BD7">
        <w:t xml:space="preserve">Eiken S, Sredl K, Saucier P, Burwell B, </w:t>
      </w:r>
      <w:r w:rsidRPr="00427BD7">
        <w:rPr>
          <w:i/>
        </w:rPr>
        <w:t xml:space="preserve">Medicaid Long-Term Services and Supports Beneficiaries in 2011 </w:t>
      </w:r>
      <w:r w:rsidRPr="00427BD7">
        <w:t>Truven Health Analytics, September 2015.</w:t>
      </w:r>
      <w:r w:rsidRPr="00427BD7">
        <w:rPr>
          <w:b/>
        </w:rPr>
        <w:t xml:space="preserve"> </w:t>
      </w:r>
    </w:p>
    <w:p w14:paraId="419EC523" w14:textId="77777777" w:rsidR="00737179" w:rsidRPr="00427BD7" w:rsidRDefault="00327E73" w:rsidP="00427BD7">
      <w:pPr>
        <w:spacing w:line="240" w:lineRule="auto"/>
        <w:ind w:left="360"/>
      </w:pPr>
      <w:r w:rsidRPr="00427BD7">
        <w:t xml:space="preserve">Eiken S, Sredl K, Burwell B, Saucier P, </w:t>
      </w:r>
      <w:r w:rsidRPr="00427BD7">
        <w:rPr>
          <w:i/>
        </w:rPr>
        <w:t>Medicaid Expenditures for Long-Term Services and Supports (LTSS) in FY 2013: Home and Community-Based Services were a Majority of LTSS Spending</w:t>
      </w:r>
      <w:r w:rsidRPr="00427BD7">
        <w:t>, Truven Health Analytics, June 2015.</w:t>
      </w:r>
    </w:p>
    <w:p w14:paraId="4F06F4EA" w14:textId="1DB367B7" w:rsidR="00EB6673" w:rsidRPr="00427BD7" w:rsidRDefault="00EB6673" w:rsidP="00427BD7">
      <w:pPr>
        <w:ind w:left="360"/>
      </w:pPr>
      <w:r w:rsidRPr="00427BD7">
        <w:t xml:space="preserve">Freedman V, Spillman B, “Disability and Care Needs among Older Americans,” The Milbank Quarterly, 2014, vol.92, no.3, pgs. 509-541. </w:t>
      </w:r>
    </w:p>
    <w:p w14:paraId="53CAFFE2" w14:textId="77777777" w:rsidR="00AA0C48" w:rsidRPr="00427BD7" w:rsidRDefault="00AA0C48" w:rsidP="00427BD7">
      <w:pPr>
        <w:spacing w:line="240" w:lineRule="auto"/>
        <w:ind w:left="360"/>
      </w:pPr>
      <w:r w:rsidRPr="00427BD7">
        <w:t xml:space="preserve">Gaugler J, Wall M, Kate R, Menk J, Khaled S, Johnston J, Schub K, Newcomer R, “Does Caregiver burden Mediate the Effects of Behavioral Disturbances on Nursing Home Admission?” </w:t>
      </w:r>
      <w:r w:rsidRPr="00427BD7">
        <w:rPr>
          <w:i/>
        </w:rPr>
        <w:t>American Journal of Geriatric Psychiatry</w:t>
      </w:r>
      <w:r w:rsidRPr="00427BD7">
        <w:t>, 2011, vol.19, no.6, pgs. 497-506.</w:t>
      </w:r>
    </w:p>
    <w:p w14:paraId="2DC75DB7" w14:textId="77777777" w:rsidR="002B2D72" w:rsidRPr="00427BD7" w:rsidRDefault="002B2D72" w:rsidP="00427BD7">
      <w:pPr>
        <w:spacing w:line="240" w:lineRule="auto"/>
        <w:ind w:left="360"/>
      </w:pPr>
      <w:r w:rsidRPr="00427BD7">
        <w:t xml:space="preserve">Gaugler J, Fang Y, Krichbaum K, Wyman J, “Predictors of Nursing Home Admission for Persons with Dementia,” </w:t>
      </w:r>
      <w:r w:rsidRPr="00427BD7">
        <w:rPr>
          <w:i/>
        </w:rPr>
        <w:t>Medical Care</w:t>
      </w:r>
      <w:r w:rsidRPr="00427BD7">
        <w:t>, 2009, vol.47, no.2, pgs.191-198.</w:t>
      </w:r>
    </w:p>
    <w:p w14:paraId="747B2F0C" w14:textId="77777777" w:rsidR="005156B4" w:rsidRPr="00427BD7" w:rsidRDefault="005156B4" w:rsidP="00427BD7">
      <w:pPr>
        <w:spacing w:line="240" w:lineRule="auto"/>
        <w:ind w:left="360"/>
      </w:pPr>
      <w:r w:rsidRPr="00427BD7">
        <w:lastRenderedPageBreak/>
        <w:t xml:space="preserve">Gitlin L, Marx K, Stanley I, Hodgson N, “Translating Evidence-based Dementia Caregiving Interventions into Practice: State-of-the-Science and next Steps,” </w:t>
      </w:r>
      <w:r w:rsidRPr="00427BD7">
        <w:rPr>
          <w:i/>
        </w:rPr>
        <w:t>The Gerontologist</w:t>
      </w:r>
      <w:r w:rsidRPr="00427BD7">
        <w:t>, 2015, vol.00, no.00, pgs.1-17.</w:t>
      </w:r>
    </w:p>
    <w:p w14:paraId="34C8E1CF" w14:textId="77777777" w:rsidR="00AA0C48" w:rsidRPr="00427BD7" w:rsidRDefault="00AA0C48" w:rsidP="00427BD7">
      <w:pPr>
        <w:spacing w:line="240" w:lineRule="auto"/>
        <w:ind w:left="360"/>
      </w:pPr>
      <w:r w:rsidRPr="00427BD7">
        <w:t xml:space="preserve">Goodwin J, Howrey B, Zhang D, Kuo Y, “Risk of Continued Institutionalization after Hospitalization in Older Adults,” </w:t>
      </w:r>
      <w:r w:rsidRPr="00427BD7">
        <w:rPr>
          <w:i/>
        </w:rPr>
        <w:t>Journal of Gerontology: Medical Sciences</w:t>
      </w:r>
      <w:r w:rsidRPr="00427BD7">
        <w:t>, 2011, vol.66A, no.12, pgs.1321-1327.</w:t>
      </w:r>
    </w:p>
    <w:p w14:paraId="198BA52F" w14:textId="77777777" w:rsidR="00EF04CD" w:rsidRPr="00427BD7" w:rsidRDefault="00EF04CD" w:rsidP="00427BD7">
      <w:pPr>
        <w:spacing w:line="240" w:lineRule="auto"/>
        <w:ind w:left="360"/>
      </w:pPr>
      <w:r w:rsidRPr="00427BD7">
        <w:t>Kasper J, Freedman V, Spillman B, Wolff J, “The Disproportionate Impact of Dementia on Famil</w:t>
      </w:r>
      <w:r w:rsidR="000A7383" w:rsidRPr="00427BD7">
        <w:t>y</w:t>
      </w:r>
      <w:r w:rsidRPr="00427BD7">
        <w:t xml:space="preserve"> and Unpaid Caregiving to Older Adults,” </w:t>
      </w:r>
      <w:r w:rsidRPr="00427BD7">
        <w:rPr>
          <w:i/>
        </w:rPr>
        <w:t>Health Affairs</w:t>
      </w:r>
      <w:r w:rsidRPr="00427BD7">
        <w:t xml:space="preserve">, </w:t>
      </w:r>
      <w:r w:rsidR="000A7383" w:rsidRPr="00427BD7">
        <w:t>vol.34, no.10, pgs.1642-1649.</w:t>
      </w:r>
    </w:p>
    <w:p w14:paraId="69297D86" w14:textId="2ED23ED1" w:rsidR="00945234" w:rsidRPr="00427BD7" w:rsidRDefault="00945234" w:rsidP="00427BD7">
      <w:pPr>
        <w:spacing w:line="240" w:lineRule="auto"/>
        <w:ind w:left="360"/>
      </w:pPr>
      <w:r w:rsidRPr="00427BD7">
        <w:t xml:space="preserve">Kaye H, LaPlante M, Harrington C, “Do Noninstitutional Long-Term Care Services Reduce Medicaid Spending? </w:t>
      </w:r>
      <w:r w:rsidRPr="00427BD7">
        <w:rPr>
          <w:i/>
        </w:rPr>
        <w:t>Health Affairs,</w:t>
      </w:r>
      <w:r w:rsidRPr="00427BD7">
        <w:t>2009,</w:t>
      </w:r>
      <w:r w:rsidRPr="00427BD7">
        <w:rPr>
          <w:i/>
        </w:rPr>
        <w:t xml:space="preserve"> </w:t>
      </w:r>
      <w:r w:rsidRPr="00427BD7">
        <w:t>vol. 28, no.1, pgs.262-272.</w:t>
      </w:r>
    </w:p>
    <w:p w14:paraId="1D29907D" w14:textId="120F653B" w:rsidR="002C32D6" w:rsidRPr="00427BD7" w:rsidRDefault="002C32D6" w:rsidP="00427BD7">
      <w:pPr>
        <w:spacing w:line="240" w:lineRule="auto"/>
        <w:ind w:left="360"/>
      </w:pPr>
      <w:r w:rsidRPr="00427BD7">
        <w:t>Keenan T, Home and Community Preferences of the 45+ Popul</w:t>
      </w:r>
      <w:r w:rsidR="002242C1">
        <w:t>ation, AARP, 2010. Accessed</w:t>
      </w:r>
      <w:r w:rsidRPr="00427BD7">
        <w:t xml:space="preserve"> on May 31, 2016.</w:t>
      </w:r>
    </w:p>
    <w:p w14:paraId="72C4FF57" w14:textId="42C80FBA" w:rsidR="00861489" w:rsidRPr="00427BD7" w:rsidRDefault="00861489" w:rsidP="00427BD7">
      <w:pPr>
        <w:spacing w:line="240" w:lineRule="auto"/>
        <w:ind w:left="360"/>
      </w:pPr>
      <w:r w:rsidRPr="00427BD7">
        <w:t>Lavelle B, Mancuso D, Humber A, Felver B, “Expanding Eligibility for the Family Caregiver Support P</w:t>
      </w:r>
      <w:r w:rsidR="003D5A8A" w:rsidRPr="00427BD7">
        <w:t>rogram in State Fiscal Year 201</w:t>
      </w:r>
      <w:r w:rsidRPr="00427BD7">
        <w:t xml:space="preserve">2,” Washington State Department of Social and Health Services, Research and Data Analysis Division, April 2014.  </w:t>
      </w:r>
      <w:r w:rsidR="002242C1">
        <w:t>Accessed</w:t>
      </w:r>
      <w:r w:rsidR="00674BBD" w:rsidRPr="00427BD7">
        <w:t xml:space="preserve"> on May 31</w:t>
      </w:r>
      <w:r w:rsidR="00E261F2" w:rsidRPr="00427BD7">
        <w:t>, 2016.</w:t>
      </w:r>
    </w:p>
    <w:p w14:paraId="21A9E963" w14:textId="35CE661F" w:rsidR="00684B44" w:rsidRPr="00427BD7" w:rsidRDefault="00684B44" w:rsidP="00427BD7">
      <w:pPr>
        <w:spacing w:line="240" w:lineRule="auto"/>
        <w:ind w:left="360"/>
        <w:rPr>
          <w:b/>
        </w:rPr>
      </w:pPr>
      <w:r w:rsidRPr="00427BD7">
        <w:t xml:space="preserve">Medicaid and CHIP Payment and Access Commission (MACPAC), </w:t>
      </w:r>
      <w:r w:rsidRPr="00427BD7">
        <w:rPr>
          <w:i/>
        </w:rPr>
        <w:t>Medicaid and CHIP Data Book</w:t>
      </w:r>
      <w:r w:rsidRPr="00427BD7">
        <w:t xml:space="preserve">, </w:t>
      </w:r>
      <w:r w:rsidR="00597E63" w:rsidRPr="00427BD7">
        <w:t>2015.</w:t>
      </w:r>
    </w:p>
    <w:p w14:paraId="45FD5BE1" w14:textId="77777777" w:rsidR="000F2F69" w:rsidRPr="00427BD7" w:rsidRDefault="000F2F69" w:rsidP="00427BD7">
      <w:pPr>
        <w:spacing w:line="240" w:lineRule="auto"/>
        <w:ind w:left="360"/>
      </w:pPr>
      <w:r w:rsidRPr="00427BD7">
        <w:t xml:space="preserve">Miller N, “Relations Among Home-and-community-based Services Investment and Nursing Home Rates of Use for Working Age and Older Adults: a State-level Analysis, </w:t>
      </w:r>
      <w:r w:rsidRPr="00427BD7">
        <w:rPr>
          <w:i/>
        </w:rPr>
        <w:t>American Journal of Public Health</w:t>
      </w:r>
      <w:r w:rsidRPr="00427BD7">
        <w:t>, 2011, vol. 101, no.9, pgs.1735-1741.</w:t>
      </w:r>
    </w:p>
    <w:p w14:paraId="06473585" w14:textId="008DEE71" w:rsidR="0020191F" w:rsidRPr="00427BD7" w:rsidRDefault="0020191F" w:rsidP="00427BD7">
      <w:pPr>
        <w:spacing w:line="240" w:lineRule="auto"/>
        <w:ind w:left="360"/>
      </w:pPr>
      <w:r w:rsidRPr="00427BD7">
        <w:t xml:space="preserve">O’Keeffe J, Saucier P, Jackson B, Cooper R, McKenney E, Crisp S, Moseley C, </w:t>
      </w:r>
      <w:r w:rsidRPr="00427BD7">
        <w:rPr>
          <w:i/>
        </w:rPr>
        <w:t>Understanding Medicaid Home and Community Services: a Primer, 2010 edition</w:t>
      </w:r>
      <w:r w:rsidRPr="00427BD7">
        <w:t>, Department of Health and</w:t>
      </w:r>
      <w:r w:rsidR="00A6671A" w:rsidRPr="00427BD7">
        <w:t xml:space="preserve"> Human Services, Office of the Assistant Secretary for Planni</w:t>
      </w:r>
      <w:r w:rsidR="009D3AEF">
        <w:t xml:space="preserve">ng and Evaluation. </w:t>
      </w:r>
    </w:p>
    <w:p w14:paraId="189CE7A3" w14:textId="77777777" w:rsidR="000F2F69" w:rsidRPr="00427BD7" w:rsidRDefault="000F2F69" w:rsidP="00427BD7">
      <w:pPr>
        <w:spacing w:line="240" w:lineRule="auto"/>
        <w:ind w:left="360"/>
      </w:pPr>
      <w:r w:rsidRPr="00427BD7">
        <w:t xml:space="preserve">Rahman M, Tyler, D, Thomas K, Grabowski D, Mor V, “Higher Medicare SNF Care Utilization by Dual-eligible Beneficiaries: Can Medicaid Long-term Care Policies be the Answer?” </w:t>
      </w:r>
      <w:r w:rsidRPr="00427BD7">
        <w:rPr>
          <w:i/>
        </w:rPr>
        <w:t>Health Services Research</w:t>
      </w:r>
      <w:r w:rsidRPr="00427BD7">
        <w:t>, 2015, vol.50, no.1, pgs.161-179.</w:t>
      </w:r>
    </w:p>
    <w:p w14:paraId="566F138F" w14:textId="77777777" w:rsidR="00684B44" w:rsidRPr="00427BD7" w:rsidRDefault="00684B44" w:rsidP="00427BD7">
      <w:pPr>
        <w:spacing w:line="240" w:lineRule="auto"/>
        <w:ind w:left="360"/>
      </w:pPr>
      <w:r w:rsidRPr="00427BD7">
        <w:t xml:space="preserve">Reaves EL, Musumeci MB, </w:t>
      </w:r>
      <w:r w:rsidRPr="00427BD7">
        <w:rPr>
          <w:i/>
        </w:rPr>
        <w:t>Medicaid and Long-term Services and Supports, a Primer</w:t>
      </w:r>
      <w:r w:rsidRPr="00427BD7">
        <w:t xml:space="preserve">.  Kaiser Family Foundation, December 2015. </w:t>
      </w:r>
    </w:p>
    <w:p w14:paraId="7E4E2964" w14:textId="77777777" w:rsidR="00F019F6" w:rsidRPr="00427BD7" w:rsidRDefault="00F019F6" w:rsidP="00427BD7">
      <w:pPr>
        <w:spacing w:line="240" w:lineRule="auto"/>
        <w:ind w:left="360"/>
      </w:pPr>
      <w:r w:rsidRPr="00427BD7">
        <w:t xml:space="preserve">Reilly S, Miranda-Castillo C, Malouf R, Hoe J, Toor S, Challis D, Orrell M, “Case Management Approaches to Home support for People with Dementia,” </w:t>
      </w:r>
      <w:r w:rsidRPr="00427BD7">
        <w:rPr>
          <w:i/>
        </w:rPr>
        <w:t>The Cochrane Collaboration</w:t>
      </w:r>
      <w:r w:rsidRPr="00427BD7">
        <w:t xml:space="preserve">, 2015. </w:t>
      </w:r>
    </w:p>
    <w:p w14:paraId="10AAA380" w14:textId="77777777" w:rsidR="002E2F3C" w:rsidRPr="00427BD7" w:rsidRDefault="002E2F3C" w:rsidP="00427BD7">
      <w:pPr>
        <w:spacing w:line="240" w:lineRule="auto"/>
        <w:ind w:left="360"/>
      </w:pPr>
      <w:r w:rsidRPr="00427BD7">
        <w:t xml:space="preserve">Ruiz S, Spafford M, </w:t>
      </w:r>
      <w:r w:rsidRPr="00427BD7">
        <w:rPr>
          <w:i/>
        </w:rPr>
        <w:t>Research Prioritization Topic Brief: Comparative Effectiveness of Multi-component Management Interventions for Community-dwelling Individuals with Dementia</w:t>
      </w:r>
      <w:r w:rsidRPr="00427BD7">
        <w:t xml:space="preserve">, PCORI – Patient-centered Outcomes Research Institute, 2015. </w:t>
      </w:r>
    </w:p>
    <w:p w14:paraId="608C08D3" w14:textId="77777777" w:rsidR="00684B44" w:rsidRPr="00427BD7" w:rsidRDefault="00737179" w:rsidP="00427BD7">
      <w:pPr>
        <w:spacing w:line="240" w:lineRule="auto"/>
        <w:ind w:left="360"/>
      </w:pPr>
      <w:r w:rsidRPr="00427BD7">
        <w:t>Schell W presentation</w:t>
      </w:r>
      <w:r w:rsidRPr="00427BD7">
        <w:rPr>
          <w:i/>
        </w:rPr>
        <w:t xml:space="preserve">, Data Sharing and Utilization for Civil Rights Compliance and Program Enhancement </w:t>
      </w:r>
      <w:r w:rsidRPr="00427BD7">
        <w:t>during</w:t>
      </w:r>
      <w:r w:rsidRPr="00427BD7">
        <w:rPr>
          <w:rFonts w:eastAsiaTheme="minorEastAsia"/>
          <w:color w:val="404040" w:themeColor="text1" w:themeTint="BF"/>
          <w:kern w:val="24"/>
        </w:rPr>
        <w:t xml:space="preserve"> </w:t>
      </w:r>
      <w:r w:rsidRPr="00427BD7">
        <w:t>SAMHSA’s</w:t>
      </w:r>
      <w:r w:rsidRPr="00427BD7">
        <w:rPr>
          <w:i/>
        </w:rPr>
        <w:t xml:space="preserve"> Olmstead Community of Practice National Webinar</w:t>
      </w:r>
      <w:r w:rsidRPr="00427BD7">
        <w:t>, U.S. Department of Health and Human Services Office for Civil Rights, February 25, 2016.</w:t>
      </w:r>
    </w:p>
    <w:p w14:paraId="773B6D3A" w14:textId="3C640260" w:rsidR="002B2D72" w:rsidRPr="00427BD7" w:rsidRDefault="002B2D72" w:rsidP="00427BD7">
      <w:pPr>
        <w:spacing w:line="240" w:lineRule="auto"/>
        <w:ind w:left="360"/>
      </w:pPr>
      <w:r w:rsidRPr="00427BD7">
        <w:lastRenderedPageBreak/>
        <w:t>Sheppard K, Brown C, Hearld K, Roth D, Sawyer P, Locher J, Allma</w:t>
      </w:r>
      <w:r w:rsidR="002E3511" w:rsidRPr="00427BD7">
        <w:t>n R, Ritchie C, “Symptom Burden</w:t>
      </w:r>
      <w:r w:rsidRPr="00427BD7">
        <w:t xml:space="preserve"> Predicts Nursing Home Admission among Older Adults,” </w:t>
      </w:r>
      <w:r w:rsidRPr="00427BD7">
        <w:rPr>
          <w:i/>
        </w:rPr>
        <w:t>Journal of Pain and Symptom Management</w:t>
      </w:r>
      <w:r w:rsidRPr="00427BD7">
        <w:t>, 2013, vol.46, no.4, pgs.591-597.</w:t>
      </w:r>
    </w:p>
    <w:p w14:paraId="3DDA3D76" w14:textId="77777777" w:rsidR="00BB6C4B" w:rsidRPr="00427BD7" w:rsidRDefault="00BB6C4B" w:rsidP="00427BD7">
      <w:pPr>
        <w:spacing w:line="240" w:lineRule="auto"/>
        <w:ind w:left="360"/>
      </w:pPr>
      <w:r w:rsidRPr="00427BD7">
        <w:t xml:space="preserve">Spillman B, </w:t>
      </w:r>
      <w:r w:rsidRPr="00427BD7">
        <w:rPr>
          <w:i/>
        </w:rPr>
        <w:t>Why Do Elders Receiving Informal Home Care Transition to Long Stay Nursing Home Residency?</w:t>
      </w:r>
      <w:r w:rsidRPr="00427BD7">
        <w:t xml:space="preserve"> 2014, Department of Health and Human Services, Office of the Assistant Secretary for Planning and Evaluation. </w:t>
      </w:r>
    </w:p>
    <w:p w14:paraId="7874A737" w14:textId="77777777" w:rsidR="000F2F69" w:rsidRPr="00427BD7" w:rsidRDefault="00AA0C48" w:rsidP="00427BD7">
      <w:pPr>
        <w:spacing w:line="240" w:lineRule="auto"/>
        <w:ind w:left="360"/>
      </w:pPr>
      <w:r w:rsidRPr="00427BD7">
        <w:t xml:space="preserve">Stineman M, Xie D, Streim J, Pan Q, Kurichi J, Henry-Sanchez J, Zhang Z, Saliba D, “Home Accessibility, Living Circumstances, Stage of Activity Limitation, and Nursing Home Use, </w:t>
      </w:r>
      <w:r w:rsidRPr="00427BD7">
        <w:rPr>
          <w:i/>
        </w:rPr>
        <w:t>Archives of Physical and Medical Rehabilitation</w:t>
      </w:r>
      <w:r w:rsidRPr="00427BD7">
        <w:t>, 2012, vol.93, pgs.1609-1616.</w:t>
      </w:r>
    </w:p>
    <w:p w14:paraId="612FCC71" w14:textId="77777777" w:rsidR="00542DE5" w:rsidRPr="00427BD7" w:rsidRDefault="00542DE5" w:rsidP="00427BD7">
      <w:pPr>
        <w:spacing w:line="240" w:lineRule="auto"/>
        <w:ind w:left="360"/>
      </w:pPr>
      <w:r w:rsidRPr="00427BD7">
        <w:t xml:space="preserve">Thomas K, “The Relationship between Older Americans Act In-home Services and Low-care Residents in Nursing Homes,” </w:t>
      </w:r>
      <w:r w:rsidRPr="00427BD7">
        <w:rPr>
          <w:i/>
        </w:rPr>
        <w:t>Journal of Aging and Health</w:t>
      </w:r>
      <w:r w:rsidRPr="00427BD7">
        <w:t>, 2014, vol.26, no.2, pgs.250-260.</w:t>
      </w:r>
    </w:p>
    <w:p w14:paraId="01C2FF7E" w14:textId="516A84E9" w:rsidR="00B06B88" w:rsidRPr="00427BD7" w:rsidRDefault="00B06B88" w:rsidP="00427BD7">
      <w:pPr>
        <w:spacing w:line="240" w:lineRule="auto"/>
        <w:ind w:left="360"/>
      </w:pPr>
      <w:r w:rsidRPr="00427BD7">
        <w:t xml:space="preserve">Thomas K, Mor V, “The Relationship between Older Americans Act Title III State Expenditures and Prevalence of Low-care Nursing Home Residents,” </w:t>
      </w:r>
      <w:r w:rsidRPr="00427BD7">
        <w:rPr>
          <w:i/>
        </w:rPr>
        <w:t>Health Services Research</w:t>
      </w:r>
      <w:r w:rsidRPr="00427BD7">
        <w:t>, 2013, vol.48, no.3, pgs.1215-1226.</w:t>
      </w:r>
    </w:p>
    <w:p w14:paraId="40976F14" w14:textId="77777777" w:rsidR="0058203B" w:rsidRPr="00427BD7" w:rsidRDefault="0058203B" w:rsidP="00427BD7">
      <w:pPr>
        <w:spacing w:line="240" w:lineRule="auto"/>
        <w:ind w:left="360"/>
      </w:pPr>
      <w:r w:rsidRPr="00427BD7">
        <w:t xml:space="preserve">Van’t Leven N, Prick A, Groenewoud J, Roelofs P, de Lange J, Pot A, “Dyadic Interventions for Community-dwelling People with Dementia and their Family Caregivers: a Systematic Review,” </w:t>
      </w:r>
      <w:r w:rsidRPr="00427BD7">
        <w:rPr>
          <w:i/>
        </w:rPr>
        <w:t>International Psychogeriatrics</w:t>
      </w:r>
      <w:r w:rsidRPr="00427BD7">
        <w:t>, 2013, vol25, no.10, pgs.1581-1503.</w:t>
      </w:r>
    </w:p>
    <w:p w14:paraId="30BEA935" w14:textId="7D04BADF" w:rsidR="00751FF7" w:rsidRPr="00427BD7" w:rsidRDefault="00751FF7" w:rsidP="00427BD7">
      <w:pPr>
        <w:spacing w:line="240" w:lineRule="auto"/>
        <w:ind w:left="360"/>
      </w:pPr>
      <w:r w:rsidRPr="00427BD7">
        <w:t xml:space="preserve">Walsh E, Green A, Kaganova Y, </w:t>
      </w:r>
      <w:r w:rsidRPr="00427BD7">
        <w:rPr>
          <w:i/>
        </w:rPr>
        <w:t>Design of Evaluation Options of the System Change Grants Final Report</w:t>
      </w:r>
      <w:r w:rsidRPr="00427BD7">
        <w:t>, 2006</w:t>
      </w:r>
      <w:r w:rsidR="00407E36" w:rsidRPr="00427BD7">
        <w:t xml:space="preserve">  Research Triangle Institute for the Centers for Medicare &amp; </w:t>
      </w:r>
      <w:r w:rsidR="00A36A0B">
        <w:t xml:space="preserve">Medicaid Services. </w:t>
      </w:r>
    </w:p>
    <w:p w14:paraId="0C8D230B" w14:textId="77777777" w:rsidR="00AA0C48" w:rsidRPr="00427BD7" w:rsidRDefault="00AA0C48" w:rsidP="00427BD7">
      <w:pPr>
        <w:spacing w:line="240" w:lineRule="auto"/>
        <w:ind w:left="360"/>
      </w:pPr>
      <w:r w:rsidRPr="00427BD7">
        <w:t xml:space="preserve">Wang S, Shamliyan T, Talley K, Ramakrishnan R, Kane R, “Not Just Specific Diseases: Systematic Review of the Association of Geriatric Syndromes with Hospitalization or Nursing Home Admission,” </w:t>
      </w:r>
      <w:r w:rsidRPr="00427BD7">
        <w:rPr>
          <w:i/>
        </w:rPr>
        <w:t>Archives of Gerontology and Geriatrics</w:t>
      </w:r>
      <w:r w:rsidRPr="00427BD7">
        <w:t>, 2013, vol.57, pgs.16-26.</w:t>
      </w:r>
    </w:p>
    <w:p w14:paraId="5A7DBED2" w14:textId="250E75F4" w:rsidR="00031E6D" w:rsidRDefault="00031E6D">
      <w:pPr>
        <w:rPr>
          <w:sz w:val="24"/>
          <w:szCs w:val="24"/>
        </w:rPr>
      </w:pPr>
      <w:r>
        <w:rPr>
          <w:sz w:val="24"/>
          <w:szCs w:val="24"/>
        </w:rPr>
        <w:br w:type="page"/>
      </w:r>
    </w:p>
    <w:p w14:paraId="36CFC830" w14:textId="36E5F544" w:rsidR="00031E6D" w:rsidRPr="00F04C9B" w:rsidRDefault="00B86F1E" w:rsidP="00031E6D">
      <w:pPr>
        <w:pStyle w:val="ListParagraph"/>
        <w:spacing w:line="240" w:lineRule="auto"/>
        <w:rPr>
          <w:b/>
          <w:sz w:val="24"/>
          <w:szCs w:val="24"/>
        </w:rPr>
      </w:pPr>
      <w:r>
        <w:rPr>
          <w:b/>
          <w:sz w:val="24"/>
          <w:szCs w:val="24"/>
        </w:rPr>
        <w:lastRenderedPageBreak/>
        <w:t>Appendix A</w:t>
      </w:r>
      <w:r w:rsidR="00031E6D" w:rsidRPr="00F04C9B">
        <w:rPr>
          <w:b/>
          <w:sz w:val="24"/>
          <w:szCs w:val="24"/>
        </w:rPr>
        <w:t>. Data Table for Fi</w:t>
      </w:r>
      <w:r w:rsidR="00FF64E5">
        <w:rPr>
          <w:b/>
          <w:sz w:val="24"/>
          <w:szCs w:val="24"/>
        </w:rPr>
        <w:t>gure 2,</w:t>
      </w:r>
      <w:r w:rsidR="00031E6D" w:rsidRPr="00F04C9B">
        <w:rPr>
          <w:b/>
          <w:sz w:val="24"/>
          <w:szCs w:val="24"/>
        </w:rPr>
        <w:t xml:space="preserve"> </w:t>
      </w:r>
      <w:r w:rsidR="00FF64E5">
        <w:rPr>
          <w:b/>
          <w:sz w:val="24"/>
          <w:szCs w:val="24"/>
        </w:rPr>
        <w:t>P</w:t>
      </w:r>
      <w:r w:rsidR="00031E6D" w:rsidRPr="00F04C9B">
        <w:rPr>
          <w:b/>
          <w:sz w:val="24"/>
          <w:szCs w:val="24"/>
        </w:rPr>
        <w:t xml:space="preserve">ercentage of Adults </w:t>
      </w:r>
      <w:r w:rsidR="00310E32">
        <w:rPr>
          <w:b/>
          <w:sz w:val="24"/>
          <w:szCs w:val="24"/>
        </w:rPr>
        <w:t>Receiving a</w:t>
      </w:r>
      <w:r w:rsidR="00031E6D" w:rsidRPr="00F04C9B">
        <w:rPr>
          <w:b/>
          <w:sz w:val="24"/>
          <w:szCs w:val="24"/>
        </w:rPr>
        <w:t>ny Type of Medicaid LTSS who Lived</w:t>
      </w:r>
      <w:r w:rsidR="00FF64E5">
        <w:rPr>
          <w:b/>
          <w:sz w:val="24"/>
          <w:szCs w:val="24"/>
        </w:rPr>
        <w:t xml:space="preserve"> </w:t>
      </w:r>
      <w:r w:rsidR="00310E32">
        <w:rPr>
          <w:b/>
          <w:sz w:val="24"/>
          <w:szCs w:val="24"/>
        </w:rPr>
        <w:t>o</w:t>
      </w:r>
      <w:r w:rsidR="00D212C2">
        <w:rPr>
          <w:b/>
          <w:sz w:val="24"/>
          <w:szCs w:val="24"/>
        </w:rPr>
        <w:t xml:space="preserve">nly </w:t>
      </w:r>
      <w:r w:rsidR="00FF64E5">
        <w:rPr>
          <w:b/>
          <w:sz w:val="24"/>
          <w:szCs w:val="24"/>
        </w:rPr>
        <w:t>in Institutions, by Age and State,</w:t>
      </w:r>
      <w:r w:rsidR="00031E6D" w:rsidRPr="00F04C9B">
        <w:rPr>
          <w:b/>
          <w:sz w:val="24"/>
          <w:szCs w:val="24"/>
        </w:rPr>
        <w:t xml:space="preserve"> 2011</w:t>
      </w:r>
    </w:p>
    <w:tbl>
      <w:tblPr>
        <w:tblStyle w:val="TableGrid"/>
        <w:tblW w:w="2880" w:type="dxa"/>
        <w:tblInd w:w="3246" w:type="dxa"/>
        <w:tblLook w:val="04A0" w:firstRow="1" w:lastRow="0" w:firstColumn="1" w:lastColumn="0" w:noHBand="0" w:noVBand="1"/>
        <w:tblCaption w:val="Appendix a. Data Table for Figure 2, Percentage of Adults Receiving Any Type of Medicaid LTSS who Lived only in Institutions by Age and State, 2011"/>
      </w:tblPr>
      <w:tblGrid>
        <w:gridCol w:w="960"/>
        <w:gridCol w:w="960"/>
        <w:gridCol w:w="960"/>
      </w:tblGrid>
      <w:tr w:rsidR="00031E6D" w:rsidRPr="00031E6D" w14:paraId="5A4C207F" w14:textId="77777777" w:rsidTr="007208F3">
        <w:trPr>
          <w:trHeight w:val="300"/>
          <w:tblHeader/>
        </w:trPr>
        <w:tc>
          <w:tcPr>
            <w:tcW w:w="960" w:type="dxa"/>
            <w:hideMark/>
          </w:tcPr>
          <w:p w14:paraId="0F401FEC"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State</w:t>
            </w:r>
          </w:p>
        </w:tc>
        <w:tc>
          <w:tcPr>
            <w:tcW w:w="960" w:type="dxa"/>
            <w:hideMark/>
          </w:tcPr>
          <w:p w14:paraId="2A156273"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21-64</w:t>
            </w:r>
          </w:p>
        </w:tc>
        <w:tc>
          <w:tcPr>
            <w:tcW w:w="960" w:type="dxa"/>
            <w:hideMark/>
          </w:tcPr>
          <w:p w14:paraId="116E94B8"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65+</w:t>
            </w:r>
          </w:p>
        </w:tc>
      </w:tr>
      <w:tr w:rsidR="00031E6D" w:rsidRPr="00031E6D" w14:paraId="3DC8BEDE" w14:textId="77777777" w:rsidTr="007208F3">
        <w:trPr>
          <w:trHeight w:val="300"/>
          <w:tblHeader/>
        </w:trPr>
        <w:tc>
          <w:tcPr>
            <w:tcW w:w="960" w:type="dxa"/>
            <w:hideMark/>
          </w:tcPr>
          <w:p w14:paraId="3587972E"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TN</w:t>
            </w:r>
          </w:p>
        </w:tc>
        <w:tc>
          <w:tcPr>
            <w:tcW w:w="960" w:type="dxa"/>
            <w:noWrap/>
            <w:hideMark/>
          </w:tcPr>
          <w:p w14:paraId="2DBFA0E5"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41.5</w:t>
            </w:r>
          </w:p>
        </w:tc>
        <w:tc>
          <w:tcPr>
            <w:tcW w:w="960" w:type="dxa"/>
            <w:noWrap/>
            <w:hideMark/>
          </w:tcPr>
          <w:p w14:paraId="2B8C3B39"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93.9</w:t>
            </w:r>
          </w:p>
        </w:tc>
      </w:tr>
      <w:tr w:rsidR="00031E6D" w:rsidRPr="00031E6D" w14:paraId="107E2628" w14:textId="77777777" w:rsidTr="007208F3">
        <w:trPr>
          <w:trHeight w:val="300"/>
          <w:tblHeader/>
        </w:trPr>
        <w:tc>
          <w:tcPr>
            <w:tcW w:w="960" w:type="dxa"/>
            <w:hideMark/>
          </w:tcPr>
          <w:p w14:paraId="594F1739"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NM</w:t>
            </w:r>
          </w:p>
        </w:tc>
        <w:tc>
          <w:tcPr>
            <w:tcW w:w="960" w:type="dxa"/>
            <w:noWrap/>
            <w:hideMark/>
          </w:tcPr>
          <w:p w14:paraId="4A3AD7F9"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25.3</w:t>
            </w:r>
          </w:p>
        </w:tc>
        <w:tc>
          <w:tcPr>
            <w:tcW w:w="960" w:type="dxa"/>
            <w:noWrap/>
            <w:hideMark/>
          </w:tcPr>
          <w:p w14:paraId="4E7C455F"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85</w:t>
            </w:r>
          </w:p>
        </w:tc>
      </w:tr>
      <w:tr w:rsidR="00031E6D" w:rsidRPr="00031E6D" w14:paraId="775A2F44" w14:textId="77777777" w:rsidTr="007208F3">
        <w:trPr>
          <w:trHeight w:val="300"/>
          <w:tblHeader/>
        </w:trPr>
        <w:tc>
          <w:tcPr>
            <w:tcW w:w="960" w:type="dxa"/>
            <w:hideMark/>
          </w:tcPr>
          <w:p w14:paraId="528A7B70"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IN</w:t>
            </w:r>
          </w:p>
        </w:tc>
        <w:tc>
          <w:tcPr>
            <w:tcW w:w="960" w:type="dxa"/>
            <w:noWrap/>
            <w:hideMark/>
          </w:tcPr>
          <w:p w14:paraId="25AE464A"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32.4</w:t>
            </w:r>
          </w:p>
        </w:tc>
        <w:tc>
          <w:tcPr>
            <w:tcW w:w="960" w:type="dxa"/>
            <w:noWrap/>
            <w:hideMark/>
          </w:tcPr>
          <w:p w14:paraId="29CB4D1E"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82.1</w:t>
            </w:r>
          </w:p>
        </w:tc>
      </w:tr>
      <w:tr w:rsidR="00031E6D" w:rsidRPr="00031E6D" w14:paraId="4D111743" w14:textId="77777777" w:rsidTr="007208F3">
        <w:trPr>
          <w:trHeight w:val="300"/>
          <w:tblHeader/>
        </w:trPr>
        <w:tc>
          <w:tcPr>
            <w:tcW w:w="960" w:type="dxa"/>
            <w:hideMark/>
          </w:tcPr>
          <w:p w14:paraId="59D44CD2"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KY</w:t>
            </w:r>
          </w:p>
        </w:tc>
        <w:tc>
          <w:tcPr>
            <w:tcW w:w="960" w:type="dxa"/>
            <w:noWrap/>
            <w:hideMark/>
          </w:tcPr>
          <w:p w14:paraId="4093FD90"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23.6</w:t>
            </w:r>
          </w:p>
        </w:tc>
        <w:tc>
          <w:tcPr>
            <w:tcW w:w="960" w:type="dxa"/>
            <w:noWrap/>
            <w:hideMark/>
          </w:tcPr>
          <w:p w14:paraId="08735F06"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74.9</w:t>
            </w:r>
          </w:p>
        </w:tc>
      </w:tr>
      <w:tr w:rsidR="00031E6D" w:rsidRPr="00031E6D" w14:paraId="3997B949" w14:textId="77777777" w:rsidTr="007208F3">
        <w:trPr>
          <w:trHeight w:val="300"/>
          <w:tblHeader/>
        </w:trPr>
        <w:tc>
          <w:tcPr>
            <w:tcW w:w="960" w:type="dxa"/>
            <w:hideMark/>
          </w:tcPr>
          <w:p w14:paraId="23B63404"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SD</w:t>
            </w:r>
          </w:p>
        </w:tc>
        <w:tc>
          <w:tcPr>
            <w:tcW w:w="960" w:type="dxa"/>
            <w:noWrap/>
            <w:hideMark/>
          </w:tcPr>
          <w:p w14:paraId="1FF64CA8"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18.6</w:t>
            </w:r>
          </w:p>
        </w:tc>
        <w:tc>
          <w:tcPr>
            <w:tcW w:w="960" w:type="dxa"/>
            <w:noWrap/>
            <w:hideMark/>
          </w:tcPr>
          <w:p w14:paraId="46E77C48"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74</w:t>
            </w:r>
          </w:p>
        </w:tc>
      </w:tr>
      <w:tr w:rsidR="00031E6D" w:rsidRPr="00031E6D" w14:paraId="4A42E8A3" w14:textId="77777777" w:rsidTr="007208F3">
        <w:trPr>
          <w:trHeight w:val="300"/>
          <w:tblHeader/>
        </w:trPr>
        <w:tc>
          <w:tcPr>
            <w:tcW w:w="960" w:type="dxa"/>
            <w:hideMark/>
          </w:tcPr>
          <w:p w14:paraId="0CAC0B47"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DE</w:t>
            </w:r>
          </w:p>
        </w:tc>
        <w:tc>
          <w:tcPr>
            <w:tcW w:w="960" w:type="dxa"/>
            <w:noWrap/>
            <w:hideMark/>
          </w:tcPr>
          <w:p w14:paraId="3F394988"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39.7</w:t>
            </w:r>
          </w:p>
        </w:tc>
        <w:tc>
          <w:tcPr>
            <w:tcW w:w="960" w:type="dxa"/>
            <w:noWrap/>
            <w:hideMark/>
          </w:tcPr>
          <w:p w14:paraId="13C6BCBA"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70.7</w:t>
            </w:r>
          </w:p>
        </w:tc>
      </w:tr>
      <w:tr w:rsidR="00031E6D" w:rsidRPr="00031E6D" w14:paraId="0095EABB" w14:textId="77777777" w:rsidTr="007208F3">
        <w:trPr>
          <w:trHeight w:val="300"/>
          <w:tblHeader/>
        </w:trPr>
        <w:tc>
          <w:tcPr>
            <w:tcW w:w="960" w:type="dxa"/>
            <w:hideMark/>
          </w:tcPr>
          <w:p w14:paraId="03E3907B"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NH</w:t>
            </w:r>
          </w:p>
        </w:tc>
        <w:tc>
          <w:tcPr>
            <w:tcW w:w="960" w:type="dxa"/>
            <w:noWrap/>
            <w:hideMark/>
          </w:tcPr>
          <w:p w14:paraId="4C2A7B4D"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10.3</w:t>
            </w:r>
          </w:p>
        </w:tc>
        <w:tc>
          <w:tcPr>
            <w:tcW w:w="960" w:type="dxa"/>
            <w:noWrap/>
            <w:hideMark/>
          </w:tcPr>
          <w:p w14:paraId="14C910CB"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68</w:t>
            </w:r>
          </w:p>
        </w:tc>
      </w:tr>
      <w:tr w:rsidR="00031E6D" w:rsidRPr="00031E6D" w14:paraId="3DA34D48" w14:textId="77777777" w:rsidTr="007208F3">
        <w:trPr>
          <w:trHeight w:val="300"/>
          <w:tblHeader/>
        </w:trPr>
        <w:tc>
          <w:tcPr>
            <w:tcW w:w="960" w:type="dxa"/>
            <w:hideMark/>
          </w:tcPr>
          <w:p w14:paraId="125AB724"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PA</w:t>
            </w:r>
          </w:p>
        </w:tc>
        <w:tc>
          <w:tcPr>
            <w:tcW w:w="960" w:type="dxa"/>
            <w:noWrap/>
            <w:hideMark/>
          </w:tcPr>
          <w:p w14:paraId="3D30A431"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18.4</w:t>
            </w:r>
          </w:p>
        </w:tc>
        <w:tc>
          <w:tcPr>
            <w:tcW w:w="960" w:type="dxa"/>
            <w:noWrap/>
            <w:hideMark/>
          </w:tcPr>
          <w:p w14:paraId="0E17AF0D"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66.6</w:t>
            </w:r>
          </w:p>
        </w:tc>
      </w:tr>
      <w:tr w:rsidR="00031E6D" w:rsidRPr="00031E6D" w14:paraId="16DAFD3A" w14:textId="77777777" w:rsidTr="007208F3">
        <w:trPr>
          <w:trHeight w:val="300"/>
          <w:tblHeader/>
        </w:trPr>
        <w:tc>
          <w:tcPr>
            <w:tcW w:w="960" w:type="dxa"/>
            <w:hideMark/>
          </w:tcPr>
          <w:p w14:paraId="3CD8888A"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ND</w:t>
            </w:r>
          </w:p>
        </w:tc>
        <w:tc>
          <w:tcPr>
            <w:tcW w:w="960" w:type="dxa"/>
            <w:noWrap/>
            <w:hideMark/>
          </w:tcPr>
          <w:p w14:paraId="59FAF79D"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16.4</w:t>
            </w:r>
          </w:p>
        </w:tc>
        <w:tc>
          <w:tcPr>
            <w:tcW w:w="960" w:type="dxa"/>
            <w:noWrap/>
            <w:hideMark/>
          </w:tcPr>
          <w:p w14:paraId="0BFA27F1"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65.8</w:t>
            </w:r>
          </w:p>
        </w:tc>
      </w:tr>
      <w:tr w:rsidR="00031E6D" w:rsidRPr="00031E6D" w14:paraId="7AF05750" w14:textId="77777777" w:rsidTr="007208F3">
        <w:trPr>
          <w:trHeight w:val="300"/>
          <w:tblHeader/>
        </w:trPr>
        <w:tc>
          <w:tcPr>
            <w:tcW w:w="960" w:type="dxa"/>
            <w:hideMark/>
          </w:tcPr>
          <w:p w14:paraId="6A316825"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LA</w:t>
            </w:r>
          </w:p>
        </w:tc>
        <w:tc>
          <w:tcPr>
            <w:tcW w:w="960" w:type="dxa"/>
            <w:noWrap/>
            <w:hideMark/>
          </w:tcPr>
          <w:p w14:paraId="047537A0"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37.9</w:t>
            </w:r>
          </w:p>
        </w:tc>
        <w:tc>
          <w:tcPr>
            <w:tcW w:w="960" w:type="dxa"/>
            <w:noWrap/>
            <w:hideMark/>
          </w:tcPr>
          <w:p w14:paraId="1FE3A2FC"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65.5</w:t>
            </w:r>
          </w:p>
        </w:tc>
      </w:tr>
      <w:tr w:rsidR="00031E6D" w:rsidRPr="00031E6D" w14:paraId="0FA96977" w14:textId="77777777" w:rsidTr="007208F3">
        <w:trPr>
          <w:trHeight w:val="300"/>
          <w:tblHeader/>
        </w:trPr>
        <w:tc>
          <w:tcPr>
            <w:tcW w:w="960" w:type="dxa"/>
            <w:hideMark/>
          </w:tcPr>
          <w:p w14:paraId="715299FC"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UT</w:t>
            </w:r>
          </w:p>
        </w:tc>
        <w:tc>
          <w:tcPr>
            <w:tcW w:w="960" w:type="dxa"/>
            <w:noWrap/>
            <w:hideMark/>
          </w:tcPr>
          <w:p w14:paraId="08EA5767"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31.2</w:t>
            </w:r>
          </w:p>
        </w:tc>
        <w:tc>
          <w:tcPr>
            <w:tcW w:w="960" w:type="dxa"/>
            <w:noWrap/>
            <w:hideMark/>
          </w:tcPr>
          <w:p w14:paraId="2127D1D4"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65.5</w:t>
            </w:r>
          </w:p>
        </w:tc>
      </w:tr>
      <w:tr w:rsidR="00031E6D" w:rsidRPr="00031E6D" w14:paraId="2F827320" w14:textId="77777777" w:rsidTr="007208F3">
        <w:trPr>
          <w:trHeight w:val="300"/>
          <w:tblHeader/>
        </w:trPr>
        <w:tc>
          <w:tcPr>
            <w:tcW w:w="960" w:type="dxa"/>
            <w:hideMark/>
          </w:tcPr>
          <w:p w14:paraId="713FBD97"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MD</w:t>
            </w:r>
          </w:p>
        </w:tc>
        <w:tc>
          <w:tcPr>
            <w:tcW w:w="960" w:type="dxa"/>
            <w:noWrap/>
            <w:hideMark/>
          </w:tcPr>
          <w:p w14:paraId="35592F02"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23.1</w:t>
            </w:r>
          </w:p>
        </w:tc>
        <w:tc>
          <w:tcPr>
            <w:tcW w:w="960" w:type="dxa"/>
            <w:noWrap/>
            <w:hideMark/>
          </w:tcPr>
          <w:p w14:paraId="396D41CF"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64.7</w:t>
            </w:r>
          </w:p>
        </w:tc>
      </w:tr>
      <w:tr w:rsidR="00031E6D" w:rsidRPr="00031E6D" w14:paraId="4B3F7C07" w14:textId="77777777" w:rsidTr="007208F3">
        <w:trPr>
          <w:trHeight w:val="300"/>
          <w:tblHeader/>
        </w:trPr>
        <w:tc>
          <w:tcPr>
            <w:tcW w:w="960" w:type="dxa"/>
            <w:hideMark/>
          </w:tcPr>
          <w:p w14:paraId="3A874CB2"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MT</w:t>
            </w:r>
          </w:p>
        </w:tc>
        <w:tc>
          <w:tcPr>
            <w:tcW w:w="960" w:type="dxa"/>
            <w:noWrap/>
            <w:hideMark/>
          </w:tcPr>
          <w:p w14:paraId="739619BC"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7.7</w:t>
            </w:r>
          </w:p>
        </w:tc>
        <w:tc>
          <w:tcPr>
            <w:tcW w:w="960" w:type="dxa"/>
            <w:noWrap/>
            <w:hideMark/>
          </w:tcPr>
          <w:p w14:paraId="60662FAA"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62.1</w:t>
            </w:r>
          </w:p>
        </w:tc>
      </w:tr>
      <w:tr w:rsidR="00031E6D" w:rsidRPr="00031E6D" w14:paraId="70AF3C23" w14:textId="77777777" w:rsidTr="007208F3">
        <w:trPr>
          <w:trHeight w:val="300"/>
          <w:tblHeader/>
        </w:trPr>
        <w:tc>
          <w:tcPr>
            <w:tcW w:w="960" w:type="dxa"/>
            <w:hideMark/>
          </w:tcPr>
          <w:p w14:paraId="5D85E844"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NE</w:t>
            </w:r>
          </w:p>
        </w:tc>
        <w:tc>
          <w:tcPr>
            <w:tcW w:w="960" w:type="dxa"/>
            <w:noWrap/>
            <w:hideMark/>
          </w:tcPr>
          <w:p w14:paraId="752C5CBB"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23.4</w:t>
            </w:r>
          </w:p>
        </w:tc>
        <w:tc>
          <w:tcPr>
            <w:tcW w:w="960" w:type="dxa"/>
            <w:noWrap/>
            <w:hideMark/>
          </w:tcPr>
          <w:p w14:paraId="41EE5E94"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60.4</w:t>
            </w:r>
          </w:p>
        </w:tc>
      </w:tr>
      <w:tr w:rsidR="00031E6D" w:rsidRPr="00031E6D" w14:paraId="29751CD4" w14:textId="77777777" w:rsidTr="007208F3">
        <w:trPr>
          <w:trHeight w:val="300"/>
          <w:tblHeader/>
        </w:trPr>
        <w:tc>
          <w:tcPr>
            <w:tcW w:w="960" w:type="dxa"/>
            <w:hideMark/>
          </w:tcPr>
          <w:p w14:paraId="0DA30BE5"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GA</w:t>
            </w:r>
          </w:p>
        </w:tc>
        <w:tc>
          <w:tcPr>
            <w:tcW w:w="960" w:type="dxa"/>
            <w:noWrap/>
            <w:hideMark/>
          </w:tcPr>
          <w:p w14:paraId="430C095D"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17.3</w:t>
            </w:r>
          </w:p>
        </w:tc>
        <w:tc>
          <w:tcPr>
            <w:tcW w:w="960" w:type="dxa"/>
            <w:noWrap/>
            <w:hideMark/>
          </w:tcPr>
          <w:p w14:paraId="3FCFFEF7"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59.3</w:t>
            </w:r>
          </w:p>
        </w:tc>
      </w:tr>
      <w:tr w:rsidR="00031E6D" w:rsidRPr="00031E6D" w14:paraId="30FA5FAF" w14:textId="77777777" w:rsidTr="007208F3">
        <w:trPr>
          <w:trHeight w:val="300"/>
          <w:tblHeader/>
        </w:trPr>
        <w:tc>
          <w:tcPr>
            <w:tcW w:w="960" w:type="dxa"/>
            <w:hideMark/>
          </w:tcPr>
          <w:p w14:paraId="0CDFB55B"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WY</w:t>
            </w:r>
          </w:p>
        </w:tc>
        <w:tc>
          <w:tcPr>
            <w:tcW w:w="960" w:type="dxa"/>
            <w:noWrap/>
            <w:hideMark/>
          </w:tcPr>
          <w:p w14:paraId="7D3D0A58"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6.8</w:t>
            </w:r>
          </w:p>
        </w:tc>
        <w:tc>
          <w:tcPr>
            <w:tcW w:w="960" w:type="dxa"/>
            <w:noWrap/>
            <w:hideMark/>
          </w:tcPr>
          <w:p w14:paraId="29C2CB34"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58.3</w:t>
            </w:r>
          </w:p>
        </w:tc>
      </w:tr>
      <w:tr w:rsidR="00031E6D" w:rsidRPr="00031E6D" w14:paraId="51D28970" w14:textId="77777777" w:rsidTr="007208F3">
        <w:trPr>
          <w:trHeight w:val="300"/>
          <w:tblHeader/>
        </w:trPr>
        <w:tc>
          <w:tcPr>
            <w:tcW w:w="960" w:type="dxa"/>
            <w:hideMark/>
          </w:tcPr>
          <w:p w14:paraId="10359598"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CT</w:t>
            </w:r>
          </w:p>
        </w:tc>
        <w:tc>
          <w:tcPr>
            <w:tcW w:w="960" w:type="dxa"/>
            <w:noWrap/>
            <w:hideMark/>
          </w:tcPr>
          <w:p w14:paraId="72B89399"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17.6</w:t>
            </w:r>
          </w:p>
        </w:tc>
        <w:tc>
          <w:tcPr>
            <w:tcW w:w="960" w:type="dxa"/>
            <w:noWrap/>
            <w:hideMark/>
          </w:tcPr>
          <w:p w14:paraId="2E035B4E"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57.1</w:t>
            </w:r>
          </w:p>
        </w:tc>
      </w:tr>
      <w:tr w:rsidR="00031E6D" w:rsidRPr="00031E6D" w14:paraId="2D13CBF3" w14:textId="77777777" w:rsidTr="007208F3">
        <w:trPr>
          <w:trHeight w:val="300"/>
          <w:tblHeader/>
        </w:trPr>
        <w:tc>
          <w:tcPr>
            <w:tcW w:w="960" w:type="dxa"/>
            <w:hideMark/>
          </w:tcPr>
          <w:p w14:paraId="14EF802E"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RI</w:t>
            </w:r>
          </w:p>
        </w:tc>
        <w:tc>
          <w:tcPr>
            <w:tcW w:w="960" w:type="dxa"/>
            <w:noWrap/>
            <w:hideMark/>
          </w:tcPr>
          <w:p w14:paraId="43152D2B"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12.7</w:t>
            </w:r>
          </w:p>
        </w:tc>
        <w:tc>
          <w:tcPr>
            <w:tcW w:w="960" w:type="dxa"/>
            <w:noWrap/>
            <w:hideMark/>
          </w:tcPr>
          <w:p w14:paraId="1E7296E7"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56.4</w:t>
            </w:r>
          </w:p>
        </w:tc>
      </w:tr>
      <w:tr w:rsidR="00031E6D" w:rsidRPr="00031E6D" w14:paraId="4C2E700D" w14:textId="77777777" w:rsidTr="007208F3">
        <w:trPr>
          <w:trHeight w:val="300"/>
          <w:tblHeader/>
        </w:trPr>
        <w:tc>
          <w:tcPr>
            <w:tcW w:w="960" w:type="dxa"/>
            <w:hideMark/>
          </w:tcPr>
          <w:p w14:paraId="6B83ED4F"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MS</w:t>
            </w:r>
          </w:p>
        </w:tc>
        <w:tc>
          <w:tcPr>
            <w:tcW w:w="960" w:type="dxa"/>
            <w:noWrap/>
            <w:hideMark/>
          </w:tcPr>
          <w:p w14:paraId="3F33ED34"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21.6</w:t>
            </w:r>
          </w:p>
        </w:tc>
        <w:tc>
          <w:tcPr>
            <w:tcW w:w="960" w:type="dxa"/>
            <w:noWrap/>
            <w:hideMark/>
          </w:tcPr>
          <w:p w14:paraId="461FC752"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56.2</w:t>
            </w:r>
          </w:p>
        </w:tc>
      </w:tr>
      <w:tr w:rsidR="00031E6D" w:rsidRPr="00031E6D" w14:paraId="3B4F6327" w14:textId="77777777" w:rsidTr="007208F3">
        <w:trPr>
          <w:trHeight w:val="300"/>
          <w:tblHeader/>
        </w:trPr>
        <w:tc>
          <w:tcPr>
            <w:tcW w:w="960" w:type="dxa"/>
            <w:hideMark/>
          </w:tcPr>
          <w:p w14:paraId="2C8D85B4"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AL</w:t>
            </w:r>
          </w:p>
        </w:tc>
        <w:tc>
          <w:tcPr>
            <w:tcW w:w="960" w:type="dxa"/>
            <w:noWrap/>
            <w:hideMark/>
          </w:tcPr>
          <w:p w14:paraId="4C4F2235"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6</w:t>
            </w:r>
          </w:p>
        </w:tc>
        <w:tc>
          <w:tcPr>
            <w:tcW w:w="960" w:type="dxa"/>
            <w:noWrap/>
            <w:hideMark/>
          </w:tcPr>
          <w:p w14:paraId="12E0209A"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55.5</w:t>
            </w:r>
          </w:p>
        </w:tc>
      </w:tr>
      <w:tr w:rsidR="00031E6D" w:rsidRPr="00031E6D" w14:paraId="48743DD6" w14:textId="77777777" w:rsidTr="007208F3">
        <w:trPr>
          <w:trHeight w:val="300"/>
          <w:tblHeader/>
        </w:trPr>
        <w:tc>
          <w:tcPr>
            <w:tcW w:w="960" w:type="dxa"/>
            <w:hideMark/>
          </w:tcPr>
          <w:p w14:paraId="6F9B9346"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WV</w:t>
            </w:r>
          </w:p>
        </w:tc>
        <w:tc>
          <w:tcPr>
            <w:tcW w:w="960" w:type="dxa"/>
            <w:noWrap/>
            <w:hideMark/>
          </w:tcPr>
          <w:p w14:paraId="3E6DE8E7"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15.2</w:t>
            </w:r>
          </w:p>
        </w:tc>
        <w:tc>
          <w:tcPr>
            <w:tcW w:w="960" w:type="dxa"/>
            <w:noWrap/>
            <w:hideMark/>
          </w:tcPr>
          <w:p w14:paraId="198CC528"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55.2</w:t>
            </w:r>
          </w:p>
        </w:tc>
      </w:tr>
      <w:tr w:rsidR="00031E6D" w:rsidRPr="00031E6D" w14:paraId="561AC4DE" w14:textId="77777777" w:rsidTr="007208F3">
        <w:trPr>
          <w:trHeight w:val="300"/>
          <w:tblHeader/>
        </w:trPr>
        <w:tc>
          <w:tcPr>
            <w:tcW w:w="960" w:type="dxa"/>
            <w:hideMark/>
          </w:tcPr>
          <w:p w14:paraId="2E751E53"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SC</w:t>
            </w:r>
          </w:p>
        </w:tc>
        <w:tc>
          <w:tcPr>
            <w:tcW w:w="960" w:type="dxa"/>
            <w:noWrap/>
            <w:hideMark/>
          </w:tcPr>
          <w:p w14:paraId="5E1918FD"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13.8</w:t>
            </w:r>
          </w:p>
        </w:tc>
        <w:tc>
          <w:tcPr>
            <w:tcW w:w="960" w:type="dxa"/>
            <w:noWrap/>
            <w:hideMark/>
          </w:tcPr>
          <w:p w14:paraId="03E07CA7"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54.9</w:t>
            </w:r>
          </w:p>
        </w:tc>
      </w:tr>
      <w:tr w:rsidR="00031E6D" w:rsidRPr="00031E6D" w14:paraId="105AA8B6" w14:textId="77777777" w:rsidTr="007208F3">
        <w:trPr>
          <w:trHeight w:val="300"/>
          <w:tblHeader/>
        </w:trPr>
        <w:tc>
          <w:tcPr>
            <w:tcW w:w="960" w:type="dxa"/>
            <w:hideMark/>
          </w:tcPr>
          <w:p w14:paraId="5BFF6D4F"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FL</w:t>
            </w:r>
          </w:p>
        </w:tc>
        <w:tc>
          <w:tcPr>
            <w:tcW w:w="960" w:type="dxa"/>
            <w:noWrap/>
            <w:hideMark/>
          </w:tcPr>
          <w:p w14:paraId="711168C8"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22.9</w:t>
            </w:r>
          </w:p>
        </w:tc>
        <w:tc>
          <w:tcPr>
            <w:tcW w:w="960" w:type="dxa"/>
            <w:noWrap/>
            <w:hideMark/>
          </w:tcPr>
          <w:p w14:paraId="43EDAEE0"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53.6</w:t>
            </w:r>
          </w:p>
        </w:tc>
      </w:tr>
      <w:tr w:rsidR="00031E6D" w:rsidRPr="00031E6D" w14:paraId="72633A00" w14:textId="77777777" w:rsidTr="007208F3">
        <w:trPr>
          <w:trHeight w:val="300"/>
          <w:tblHeader/>
        </w:trPr>
        <w:tc>
          <w:tcPr>
            <w:tcW w:w="960" w:type="dxa"/>
            <w:hideMark/>
          </w:tcPr>
          <w:p w14:paraId="0106FFB9"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AR</w:t>
            </w:r>
          </w:p>
        </w:tc>
        <w:tc>
          <w:tcPr>
            <w:tcW w:w="960" w:type="dxa"/>
            <w:noWrap/>
            <w:hideMark/>
          </w:tcPr>
          <w:p w14:paraId="048D1921"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26.9</w:t>
            </w:r>
          </w:p>
        </w:tc>
        <w:tc>
          <w:tcPr>
            <w:tcW w:w="960" w:type="dxa"/>
            <w:noWrap/>
            <w:hideMark/>
          </w:tcPr>
          <w:p w14:paraId="3409ADF4"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52.7</w:t>
            </w:r>
          </w:p>
        </w:tc>
      </w:tr>
      <w:tr w:rsidR="00031E6D" w:rsidRPr="00031E6D" w14:paraId="190DABE3" w14:textId="77777777" w:rsidTr="007208F3">
        <w:trPr>
          <w:trHeight w:val="300"/>
          <w:tblHeader/>
        </w:trPr>
        <w:tc>
          <w:tcPr>
            <w:tcW w:w="960" w:type="dxa"/>
            <w:hideMark/>
          </w:tcPr>
          <w:p w14:paraId="63B4F7B7"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MI</w:t>
            </w:r>
          </w:p>
        </w:tc>
        <w:tc>
          <w:tcPr>
            <w:tcW w:w="960" w:type="dxa"/>
            <w:noWrap/>
            <w:hideMark/>
          </w:tcPr>
          <w:p w14:paraId="30900451"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14</w:t>
            </w:r>
          </w:p>
        </w:tc>
        <w:tc>
          <w:tcPr>
            <w:tcW w:w="960" w:type="dxa"/>
            <w:noWrap/>
            <w:hideMark/>
          </w:tcPr>
          <w:p w14:paraId="2002734A"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52.7</w:t>
            </w:r>
          </w:p>
        </w:tc>
      </w:tr>
      <w:tr w:rsidR="00031E6D" w:rsidRPr="00031E6D" w14:paraId="2DCDCF6F" w14:textId="77777777" w:rsidTr="007208F3">
        <w:trPr>
          <w:trHeight w:val="300"/>
          <w:tblHeader/>
        </w:trPr>
        <w:tc>
          <w:tcPr>
            <w:tcW w:w="960" w:type="dxa"/>
            <w:hideMark/>
          </w:tcPr>
          <w:p w14:paraId="3C87DA50"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VA</w:t>
            </w:r>
          </w:p>
        </w:tc>
        <w:tc>
          <w:tcPr>
            <w:tcW w:w="960" w:type="dxa"/>
            <w:noWrap/>
            <w:hideMark/>
          </w:tcPr>
          <w:p w14:paraId="42CF0767"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18.4</w:t>
            </w:r>
          </w:p>
        </w:tc>
        <w:tc>
          <w:tcPr>
            <w:tcW w:w="960" w:type="dxa"/>
            <w:noWrap/>
            <w:hideMark/>
          </w:tcPr>
          <w:p w14:paraId="1B5BDA2E"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51.6</w:t>
            </w:r>
          </w:p>
        </w:tc>
      </w:tr>
      <w:tr w:rsidR="00031E6D" w:rsidRPr="00031E6D" w14:paraId="7FAA93B6" w14:textId="77777777" w:rsidTr="007208F3">
        <w:trPr>
          <w:trHeight w:val="300"/>
          <w:tblHeader/>
        </w:trPr>
        <w:tc>
          <w:tcPr>
            <w:tcW w:w="960" w:type="dxa"/>
            <w:hideMark/>
          </w:tcPr>
          <w:p w14:paraId="4B9B9C0E"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IA</w:t>
            </w:r>
          </w:p>
        </w:tc>
        <w:tc>
          <w:tcPr>
            <w:tcW w:w="960" w:type="dxa"/>
            <w:noWrap/>
            <w:hideMark/>
          </w:tcPr>
          <w:p w14:paraId="2BBEB0E9"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18</w:t>
            </w:r>
          </w:p>
        </w:tc>
        <w:tc>
          <w:tcPr>
            <w:tcW w:w="960" w:type="dxa"/>
            <w:noWrap/>
            <w:hideMark/>
          </w:tcPr>
          <w:p w14:paraId="4D959CBB"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50.9</w:t>
            </w:r>
          </w:p>
        </w:tc>
      </w:tr>
      <w:tr w:rsidR="00031E6D" w:rsidRPr="00031E6D" w14:paraId="23264276" w14:textId="77777777" w:rsidTr="007208F3">
        <w:trPr>
          <w:trHeight w:val="300"/>
          <w:tblHeader/>
        </w:trPr>
        <w:tc>
          <w:tcPr>
            <w:tcW w:w="960" w:type="dxa"/>
            <w:hideMark/>
          </w:tcPr>
          <w:p w14:paraId="4DF1AEE4"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OK</w:t>
            </w:r>
          </w:p>
        </w:tc>
        <w:tc>
          <w:tcPr>
            <w:tcW w:w="960" w:type="dxa"/>
            <w:noWrap/>
            <w:hideMark/>
          </w:tcPr>
          <w:p w14:paraId="4BCF51BF"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22.8</w:t>
            </w:r>
          </w:p>
        </w:tc>
        <w:tc>
          <w:tcPr>
            <w:tcW w:w="960" w:type="dxa"/>
            <w:noWrap/>
            <w:hideMark/>
          </w:tcPr>
          <w:p w14:paraId="6B7FDBF5"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49.5</w:t>
            </w:r>
          </w:p>
        </w:tc>
      </w:tr>
      <w:tr w:rsidR="00031E6D" w:rsidRPr="00031E6D" w14:paraId="49D532B8" w14:textId="77777777" w:rsidTr="007208F3">
        <w:trPr>
          <w:trHeight w:val="300"/>
          <w:tblHeader/>
        </w:trPr>
        <w:tc>
          <w:tcPr>
            <w:tcW w:w="960" w:type="dxa"/>
            <w:hideMark/>
          </w:tcPr>
          <w:p w14:paraId="0DD07778"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MO</w:t>
            </w:r>
          </w:p>
        </w:tc>
        <w:tc>
          <w:tcPr>
            <w:tcW w:w="960" w:type="dxa"/>
            <w:noWrap/>
            <w:hideMark/>
          </w:tcPr>
          <w:p w14:paraId="1183FED4"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13.2</w:t>
            </w:r>
          </w:p>
        </w:tc>
        <w:tc>
          <w:tcPr>
            <w:tcW w:w="960" w:type="dxa"/>
            <w:noWrap/>
            <w:hideMark/>
          </w:tcPr>
          <w:p w14:paraId="0FD3C264"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48.4</w:t>
            </w:r>
          </w:p>
        </w:tc>
      </w:tr>
      <w:tr w:rsidR="00031E6D" w:rsidRPr="00031E6D" w14:paraId="30B16ECA" w14:textId="77777777" w:rsidTr="007208F3">
        <w:trPr>
          <w:trHeight w:val="300"/>
          <w:tblHeader/>
        </w:trPr>
        <w:tc>
          <w:tcPr>
            <w:tcW w:w="960" w:type="dxa"/>
            <w:hideMark/>
          </w:tcPr>
          <w:p w14:paraId="1307A61F"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NY</w:t>
            </w:r>
          </w:p>
        </w:tc>
        <w:tc>
          <w:tcPr>
            <w:tcW w:w="960" w:type="dxa"/>
            <w:noWrap/>
            <w:hideMark/>
          </w:tcPr>
          <w:p w14:paraId="277CAE9B"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18.4</w:t>
            </w:r>
          </w:p>
        </w:tc>
        <w:tc>
          <w:tcPr>
            <w:tcW w:w="960" w:type="dxa"/>
            <w:noWrap/>
            <w:hideMark/>
          </w:tcPr>
          <w:p w14:paraId="754344C0"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46.6</w:t>
            </w:r>
          </w:p>
        </w:tc>
      </w:tr>
      <w:tr w:rsidR="00031E6D" w:rsidRPr="00031E6D" w14:paraId="062CB0ED" w14:textId="77777777" w:rsidTr="007208F3">
        <w:trPr>
          <w:trHeight w:val="300"/>
          <w:tblHeader/>
        </w:trPr>
        <w:tc>
          <w:tcPr>
            <w:tcW w:w="960" w:type="dxa"/>
            <w:hideMark/>
          </w:tcPr>
          <w:p w14:paraId="21F40A96"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NJ</w:t>
            </w:r>
          </w:p>
        </w:tc>
        <w:tc>
          <w:tcPr>
            <w:tcW w:w="960" w:type="dxa"/>
            <w:noWrap/>
            <w:hideMark/>
          </w:tcPr>
          <w:p w14:paraId="2A46CFBF"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24.2</w:t>
            </w:r>
          </w:p>
        </w:tc>
        <w:tc>
          <w:tcPr>
            <w:tcW w:w="960" w:type="dxa"/>
            <w:noWrap/>
            <w:hideMark/>
          </w:tcPr>
          <w:p w14:paraId="799C8F26"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44.5</w:t>
            </w:r>
          </w:p>
        </w:tc>
      </w:tr>
      <w:tr w:rsidR="00031E6D" w:rsidRPr="00031E6D" w14:paraId="10509701" w14:textId="77777777" w:rsidTr="007208F3">
        <w:trPr>
          <w:trHeight w:val="300"/>
          <w:tblHeader/>
        </w:trPr>
        <w:tc>
          <w:tcPr>
            <w:tcW w:w="960" w:type="dxa"/>
            <w:hideMark/>
          </w:tcPr>
          <w:p w14:paraId="7B8C1AD5"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VT</w:t>
            </w:r>
          </w:p>
        </w:tc>
        <w:tc>
          <w:tcPr>
            <w:tcW w:w="960" w:type="dxa"/>
            <w:noWrap/>
            <w:hideMark/>
          </w:tcPr>
          <w:p w14:paraId="48EE5A0F"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10.5</w:t>
            </w:r>
          </w:p>
        </w:tc>
        <w:tc>
          <w:tcPr>
            <w:tcW w:w="960" w:type="dxa"/>
            <w:noWrap/>
            <w:hideMark/>
          </w:tcPr>
          <w:p w14:paraId="7B01D4E0"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44.3</w:t>
            </w:r>
          </w:p>
        </w:tc>
      </w:tr>
      <w:tr w:rsidR="00031E6D" w:rsidRPr="00031E6D" w14:paraId="38BCF48A" w14:textId="77777777" w:rsidTr="007208F3">
        <w:trPr>
          <w:trHeight w:val="300"/>
          <w:tblHeader/>
        </w:trPr>
        <w:tc>
          <w:tcPr>
            <w:tcW w:w="960" w:type="dxa"/>
            <w:hideMark/>
          </w:tcPr>
          <w:p w14:paraId="7EBDBDFA"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NC</w:t>
            </w:r>
          </w:p>
        </w:tc>
        <w:tc>
          <w:tcPr>
            <w:tcW w:w="960" w:type="dxa"/>
            <w:noWrap/>
            <w:hideMark/>
          </w:tcPr>
          <w:p w14:paraId="502E1E00"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13.4</w:t>
            </w:r>
          </w:p>
        </w:tc>
        <w:tc>
          <w:tcPr>
            <w:tcW w:w="960" w:type="dxa"/>
            <w:noWrap/>
            <w:hideMark/>
          </w:tcPr>
          <w:p w14:paraId="1441BB59"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41.9</w:t>
            </w:r>
          </w:p>
        </w:tc>
      </w:tr>
      <w:tr w:rsidR="00031E6D" w:rsidRPr="00031E6D" w14:paraId="6A46C4A9" w14:textId="77777777" w:rsidTr="007208F3">
        <w:trPr>
          <w:trHeight w:val="300"/>
          <w:tblHeader/>
        </w:trPr>
        <w:tc>
          <w:tcPr>
            <w:tcW w:w="960" w:type="dxa"/>
            <w:hideMark/>
          </w:tcPr>
          <w:p w14:paraId="43FE163E"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MN</w:t>
            </w:r>
          </w:p>
        </w:tc>
        <w:tc>
          <w:tcPr>
            <w:tcW w:w="960" w:type="dxa"/>
            <w:noWrap/>
            <w:hideMark/>
          </w:tcPr>
          <w:p w14:paraId="05A826A3"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2.6</w:t>
            </w:r>
          </w:p>
        </w:tc>
        <w:tc>
          <w:tcPr>
            <w:tcW w:w="960" w:type="dxa"/>
            <w:noWrap/>
            <w:hideMark/>
          </w:tcPr>
          <w:p w14:paraId="1EDEF416"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37.1</w:t>
            </w:r>
          </w:p>
        </w:tc>
      </w:tr>
      <w:tr w:rsidR="00031E6D" w:rsidRPr="00031E6D" w14:paraId="3319BC22" w14:textId="77777777" w:rsidTr="007208F3">
        <w:trPr>
          <w:trHeight w:val="300"/>
          <w:tblHeader/>
        </w:trPr>
        <w:tc>
          <w:tcPr>
            <w:tcW w:w="960" w:type="dxa"/>
            <w:hideMark/>
          </w:tcPr>
          <w:p w14:paraId="37F36AFA"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NV</w:t>
            </w:r>
          </w:p>
        </w:tc>
        <w:tc>
          <w:tcPr>
            <w:tcW w:w="960" w:type="dxa"/>
            <w:noWrap/>
            <w:hideMark/>
          </w:tcPr>
          <w:p w14:paraId="105BBBA9"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12.6</w:t>
            </w:r>
          </w:p>
        </w:tc>
        <w:tc>
          <w:tcPr>
            <w:tcW w:w="960" w:type="dxa"/>
            <w:noWrap/>
            <w:hideMark/>
          </w:tcPr>
          <w:p w14:paraId="2A3AF6C5"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36.3</w:t>
            </w:r>
          </w:p>
        </w:tc>
      </w:tr>
      <w:tr w:rsidR="00031E6D" w:rsidRPr="00031E6D" w14:paraId="63DE7B67" w14:textId="77777777" w:rsidTr="007208F3">
        <w:trPr>
          <w:trHeight w:val="300"/>
          <w:tblHeader/>
        </w:trPr>
        <w:tc>
          <w:tcPr>
            <w:tcW w:w="960" w:type="dxa"/>
            <w:hideMark/>
          </w:tcPr>
          <w:p w14:paraId="7D5332A6"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IL</w:t>
            </w:r>
          </w:p>
        </w:tc>
        <w:tc>
          <w:tcPr>
            <w:tcW w:w="960" w:type="dxa"/>
            <w:noWrap/>
            <w:hideMark/>
          </w:tcPr>
          <w:p w14:paraId="7BCB0363"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20.1</w:t>
            </w:r>
          </w:p>
        </w:tc>
        <w:tc>
          <w:tcPr>
            <w:tcW w:w="960" w:type="dxa"/>
            <w:noWrap/>
            <w:hideMark/>
          </w:tcPr>
          <w:p w14:paraId="364DDB2F"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36.1</w:t>
            </w:r>
          </w:p>
        </w:tc>
      </w:tr>
      <w:tr w:rsidR="00031E6D" w:rsidRPr="00031E6D" w14:paraId="22A837A3" w14:textId="77777777" w:rsidTr="007208F3">
        <w:trPr>
          <w:trHeight w:val="300"/>
          <w:tblHeader/>
        </w:trPr>
        <w:tc>
          <w:tcPr>
            <w:tcW w:w="960" w:type="dxa"/>
            <w:hideMark/>
          </w:tcPr>
          <w:p w14:paraId="69311CBF"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WA</w:t>
            </w:r>
          </w:p>
        </w:tc>
        <w:tc>
          <w:tcPr>
            <w:tcW w:w="960" w:type="dxa"/>
            <w:noWrap/>
            <w:hideMark/>
          </w:tcPr>
          <w:p w14:paraId="1C28AEAB"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10.9</w:t>
            </w:r>
          </w:p>
        </w:tc>
        <w:tc>
          <w:tcPr>
            <w:tcW w:w="960" w:type="dxa"/>
            <w:noWrap/>
            <w:hideMark/>
          </w:tcPr>
          <w:p w14:paraId="5FC1A372"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25.5</w:t>
            </w:r>
          </w:p>
        </w:tc>
      </w:tr>
      <w:tr w:rsidR="00031E6D" w:rsidRPr="00031E6D" w14:paraId="1562DE60" w14:textId="77777777" w:rsidTr="007208F3">
        <w:trPr>
          <w:trHeight w:val="300"/>
          <w:tblHeader/>
        </w:trPr>
        <w:tc>
          <w:tcPr>
            <w:tcW w:w="960" w:type="dxa"/>
            <w:hideMark/>
          </w:tcPr>
          <w:p w14:paraId="2A6B3F48"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CA</w:t>
            </w:r>
          </w:p>
        </w:tc>
        <w:tc>
          <w:tcPr>
            <w:tcW w:w="960" w:type="dxa"/>
            <w:noWrap/>
            <w:hideMark/>
          </w:tcPr>
          <w:p w14:paraId="6F67898A"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10.2</w:t>
            </w:r>
          </w:p>
        </w:tc>
        <w:tc>
          <w:tcPr>
            <w:tcW w:w="960" w:type="dxa"/>
            <w:noWrap/>
            <w:hideMark/>
          </w:tcPr>
          <w:p w14:paraId="721471E9"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21.2</w:t>
            </w:r>
          </w:p>
        </w:tc>
      </w:tr>
      <w:tr w:rsidR="00031E6D" w:rsidRPr="00031E6D" w14:paraId="5D273C9A" w14:textId="77777777" w:rsidTr="007208F3">
        <w:trPr>
          <w:trHeight w:val="300"/>
          <w:tblHeader/>
        </w:trPr>
        <w:tc>
          <w:tcPr>
            <w:tcW w:w="960" w:type="dxa"/>
            <w:hideMark/>
          </w:tcPr>
          <w:p w14:paraId="0CF9BD8E"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lastRenderedPageBreak/>
              <w:t>OR</w:t>
            </w:r>
          </w:p>
        </w:tc>
        <w:tc>
          <w:tcPr>
            <w:tcW w:w="960" w:type="dxa"/>
            <w:noWrap/>
            <w:hideMark/>
          </w:tcPr>
          <w:p w14:paraId="63E9984C"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6.3</w:t>
            </w:r>
          </w:p>
        </w:tc>
        <w:tc>
          <w:tcPr>
            <w:tcW w:w="960" w:type="dxa"/>
            <w:noWrap/>
            <w:hideMark/>
          </w:tcPr>
          <w:p w14:paraId="13847FCB"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19.2</w:t>
            </w:r>
          </w:p>
        </w:tc>
      </w:tr>
      <w:tr w:rsidR="00031E6D" w:rsidRPr="00031E6D" w14:paraId="4387358F" w14:textId="77777777" w:rsidTr="007208F3">
        <w:trPr>
          <w:trHeight w:val="300"/>
          <w:tblHeader/>
        </w:trPr>
        <w:tc>
          <w:tcPr>
            <w:tcW w:w="960" w:type="dxa"/>
            <w:hideMark/>
          </w:tcPr>
          <w:p w14:paraId="454CC014" w14:textId="77777777" w:rsidR="00031E6D" w:rsidRPr="00031E6D" w:rsidRDefault="00031E6D" w:rsidP="00031E6D">
            <w:pPr>
              <w:rPr>
                <w:rFonts w:eastAsia="Times New Roman" w:cs="Times New Roman"/>
                <w:color w:val="000000"/>
                <w:sz w:val="20"/>
                <w:szCs w:val="20"/>
              </w:rPr>
            </w:pPr>
            <w:r w:rsidRPr="00031E6D">
              <w:rPr>
                <w:rFonts w:eastAsia="Times New Roman" w:cs="Times New Roman"/>
                <w:color w:val="000000"/>
                <w:sz w:val="20"/>
                <w:szCs w:val="20"/>
              </w:rPr>
              <w:t>AK</w:t>
            </w:r>
          </w:p>
        </w:tc>
        <w:tc>
          <w:tcPr>
            <w:tcW w:w="960" w:type="dxa"/>
            <w:noWrap/>
            <w:hideMark/>
          </w:tcPr>
          <w:p w14:paraId="2C719AD4"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4.6</w:t>
            </w:r>
          </w:p>
        </w:tc>
        <w:tc>
          <w:tcPr>
            <w:tcW w:w="960" w:type="dxa"/>
            <w:noWrap/>
            <w:hideMark/>
          </w:tcPr>
          <w:p w14:paraId="1D4D8F82" w14:textId="77777777" w:rsidR="00031E6D" w:rsidRPr="00031E6D" w:rsidRDefault="00031E6D" w:rsidP="00031E6D">
            <w:pPr>
              <w:jc w:val="right"/>
              <w:rPr>
                <w:rFonts w:eastAsia="Times New Roman" w:cs="Times New Roman"/>
                <w:color w:val="000000"/>
                <w:sz w:val="20"/>
                <w:szCs w:val="20"/>
              </w:rPr>
            </w:pPr>
            <w:r w:rsidRPr="00031E6D">
              <w:rPr>
                <w:rFonts w:eastAsia="Times New Roman" w:cs="Times New Roman"/>
                <w:color w:val="000000"/>
                <w:sz w:val="20"/>
                <w:szCs w:val="20"/>
              </w:rPr>
              <w:t>12</w:t>
            </w:r>
          </w:p>
        </w:tc>
      </w:tr>
    </w:tbl>
    <w:p w14:paraId="2CA08BEE" w14:textId="77777777" w:rsidR="00C231DA" w:rsidRPr="00FF4B72" w:rsidRDefault="00C231DA" w:rsidP="00C231DA">
      <w:pPr>
        <w:autoSpaceDE w:val="0"/>
        <w:autoSpaceDN w:val="0"/>
        <w:adjustRightInd w:val="0"/>
        <w:spacing w:after="0" w:line="240" w:lineRule="auto"/>
        <w:rPr>
          <w:rFonts w:cs="Arial"/>
          <w:color w:val="000000"/>
          <w:sz w:val="18"/>
          <w:szCs w:val="18"/>
        </w:rPr>
      </w:pPr>
      <w:r w:rsidRPr="00FF4B72">
        <w:rPr>
          <w:rFonts w:cs="Arial"/>
          <w:color w:val="000000"/>
          <w:sz w:val="18"/>
          <w:szCs w:val="18"/>
        </w:rPr>
        <w:t xml:space="preserve">Data Source: Medicaid Analytic eXtract (MAX) Data do not include LTSS beneficiaries enrolled in comprehensive managed care plans. </w:t>
      </w:r>
    </w:p>
    <w:p w14:paraId="2624E302" w14:textId="77777777" w:rsidR="00C231DA" w:rsidRDefault="00C231DA" w:rsidP="00C231DA">
      <w:pPr>
        <w:spacing w:line="240" w:lineRule="auto"/>
        <w:rPr>
          <w:rFonts w:cs="Arial"/>
          <w:color w:val="000000"/>
          <w:sz w:val="18"/>
          <w:szCs w:val="18"/>
        </w:rPr>
      </w:pPr>
      <w:r w:rsidRPr="00031E6D">
        <w:rPr>
          <w:rFonts w:cs="Arial"/>
          <w:color w:val="000000"/>
          <w:sz w:val="18"/>
          <w:szCs w:val="18"/>
        </w:rPr>
        <w:t>Data do not include Arizona, Colorado, the District of Columbia, Hawaii, Kansas, Idaho, Maine, Massachusetts, Ohio, Texas, and Wisconsin because MAX does not include 2011 data for these states.</w:t>
      </w:r>
    </w:p>
    <w:p w14:paraId="6B3AB674" w14:textId="1695F935" w:rsidR="00C231DA" w:rsidRDefault="00C231DA" w:rsidP="00C231DA">
      <w:pPr>
        <w:spacing w:line="240" w:lineRule="auto"/>
        <w:rPr>
          <w:sz w:val="24"/>
          <w:szCs w:val="24"/>
        </w:rPr>
      </w:pPr>
      <w:r>
        <w:rPr>
          <w:sz w:val="24"/>
          <w:szCs w:val="24"/>
        </w:rPr>
        <w:t xml:space="preserve">Source: </w:t>
      </w:r>
      <w:r w:rsidRPr="00CC44F1">
        <w:rPr>
          <w:sz w:val="24"/>
          <w:szCs w:val="24"/>
        </w:rPr>
        <w:t xml:space="preserve">Eiken </w:t>
      </w:r>
      <w:r w:rsidR="00427BD7">
        <w:rPr>
          <w:sz w:val="24"/>
          <w:szCs w:val="24"/>
        </w:rPr>
        <w:t>et al.,</w:t>
      </w:r>
      <w:r w:rsidRPr="00CC44F1">
        <w:rPr>
          <w:sz w:val="24"/>
          <w:szCs w:val="24"/>
        </w:rPr>
        <w:t xml:space="preserve"> September </w:t>
      </w:r>
      <w:r>
        <w:rPr>
          <w:sz w:val="24"/>
          <w:szCs w:val="24"/>
        </w:rPr>
        <w:t>2015</w:t>
      </w:r>
    </w:p>
    <w:p w14:paraId="532AD7C3" w14:textId="77777777" w:rsidR="00031E6D" w:rsidRPr="00547EAE" w:rsidRDefault="00031E6D" w:rsidP="00031E6D">
      <w:pPr>
        <w:pStyle w:val="ListParagraph"/>
        <w:spacing w:line="240" w:lineRule="auto"/>
        <w:rPr>
          <w:sz w:val="24"/>
          <w:szCs w:val="24"/>
        </w:rPr>
      </w:pPr>
    </w:p>
    <w:sectPr w:rsidR="00031E6D" w:rsidRPr="00547EAE" w:rsidSect="0028784E">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405941" w15:done="0"/>
  <w15:commentEx w15:paraId="4D1F9D5F" w15:done="0"/>
  <w15:commentEx w15:paraId="252DE124" w15:done="0"/>
  <w15:commentEx w15:paraId="399AB232" w15:done="0"/>
  <w15:commentEx w15:paraId="67D07404" w15:done="0"/>
  <w15:commentEx w15:paraId="542DD330" w15:done="0"/>
  <w15:commentEx w15:paraId="5A376CF9" w15:done="0"/>
  <w15:commentEx w15:paraId="121C9066" w15:done="0"/>
  <w15:commentEx w15:paraId="5DF86013" w15:done="0"/>
  <w15:commentEx w15:paraId="5979A00E" w15:done="0"/>
  <w15:commentEx w15:paraId="2FEA12D5" w15:done="0"/>
  <w15:commentEx w15:paraId="0B817E75" w15:done="0"/>
  <w15:commentEx w15:paraId="496F26EF" w15:done="0"/>
  <w15:commentEx w15:paraId="503F505F" w15:done="0"/>
  <w15:commentEx w15:paraId="52817110" w15:done="0"/>
  <w15:commentEx w15:paraId="3EEEE4FE" w15:done="0"/>
  <w15:commentEx w15:paraId="0F5561CB" w15:done="0"/>
  <w15:commentEx w15:paraId="66373274" w15:done="0"/>
  <w15:commentEx w15:paraId="300F6969" w15:done="0"/>
  <w15:commentEx w15:paraId="182ECA58" w15:done="0"/>
  <w15:commentEx w15:paraId="23AFD3B0" w15:done="0"/>
  <w15:commentEx w15:paraId="20C88CAE" w15:done="0"/>
  <w15:commentEx w15:paraId="164A8557" w15:done="0"/>
  <w15:commentEx w15:paraId="1D64FE81" w15:done="0"/>
  <w15:commentEx w15:paraId="50B41A65" w15:done="0"/>
  <w15:commentEx w15:paraId="0D27652B" w15:done="0"/>
  <w15:commentEx w15:paraId="21A91AAC" w15:done="0"/>
  <w15:commentEx w15:paraId="52DE8C26" w15:done="0"/>
  <w15:commentEx w15:paraId="545556CF" w15:done="0"/>
  <w15:commentEx w15:paraId="073FB0FD" w15:done="0"/>
  <w15:commentEx w15:paraId="3A80F044" w15:done="0"/>
  <w15:commentEx w15:paraId="249F7240" w15:done="0"/>
  <w15:commentEx w15:paraId="208CFDB4" w15:done="0"/>
  <w15:commentEx w15:paraId="1066347F" w15:done="0"/>
  <w15:commentEx w15:paraId="4D2C1154" w15:done="0"/>
  <w15:commentEx w15:paraId="587F5B81" w15:done="0"/>
  <w15:commentEx w15:paraId="79DC8C7E" w15:done="0"/>
  <w15:commentEx w15:paraId="7D373B50" w15:done="0"/>
  <w15:commentEx w15:paraId="2CA613FF" w15:done="0"/>
  <w15:commentEx w15:paraId="490319F3" w15:done="0"/>
  <w15:commentEx w15:paraId="7A889292" w15:done="0"/>
  <w15:commentEx w15:paraId="741FCD09" w15:done="0"/>
  <w15:commentEx w15:paraId="1E5ED232" w15:done="0"/>
  <w15:commentEx w15:paraId="66FECFE1" w15:done="0"/>
  <w15:commentEx w15:paraId="0C79530C" w15:done="0"/>
  <w15:commentEx w15:paraId="30A8E8B7" w15:done="0"/>
  <w15:commentEx w15:paraId="501B775B" w15:done="0"/>
  <w15:commentEx w15:paraId="3D1C5248" w15:done="0"/>
  <w15:commentEx w15:paraId="10308331" w15:done="0"/>
  <w15:commentEx w15:paraId="3C0FE4D5" w15:done="0"/>
  <w15:commentEx w15:paraId="1646DCBD" w15:done="0"/>
  <w15:commentEx w15:paraId="16584C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8EC3D" w14:textId="77777777" w:rsidR="00A74451" w:rsidRDefault="00A74451" w:rsidP="00F82EB5">
      <w:pPr>
        <w:spacing w:after="0" w:line="240" w:lineRule="auto"/>
      </w:pPr>
      <w:r>
        <w:separator/>
      </w:r>
    </w:p>
  </w:endnote>
  <w:endnote w:type="continuationSeparator" w:id="0">
    <w:p w14:paraId="5B4ECA66" w14:textId="77777777" w:rsidR="00A74451" w:rsidRDefault="00A74451" w:rsidP="00F8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Std Md">
    <w:altName w:val="ITC Avant Garde Std M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FB-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73037"/>
      <w:docPartObj>
        <w:docPartGallery w:val="Page Numbers (Bottom of Page)"/>
        <w:docPartUnique/>
      </w:docPartObj>
    </w:sdtPr>
    <w:sdtEndPr>
      <w:rPr>
        <w:noProof/>
      </w:rPr>
    </w:sdtEndPr>
    <w:sdtContent>
      <w:p w14:paraId="3B7306C9" w14:textId="57D5E936" w:rsidR="00525F19" w:rsidRDefault="00525F19">
        <w:pPr>
          <w:pStyle w:val="Footer"/>
          <w:jc w:val="right"/>
        </w:pPr>
        <w:r>
          <w:fldChar w:fldCharType="begin"/>
        </w:r>
        <w:r>
          <w:instrText xml:space="preserve"> PAGE   \* MERGEFORMAT </w:instrText>
        </w:r>
        <w:r>
          <w:fldChar w:fldCharType="separate"/>
        </w:r>
        <w:r w:rsidR="004C226A">
          <w:rPr>
            <w:noProof/>
          </w:rPr>
          <w:t>14</w:t>
        </w:r>
        <w:r>
          <w:rPr>
            <w:noProof/>
          </w:rPr>
          <w:fldChar w:fldCharType="end"/>
        </w:r>
      </w:p>
    </w:sdtContent>
  </w:sdt>
  <w:p w14:paraId="46D81B9F" w14:textId="77777777" w:rsidR="00525F19" w:rsidRDefault="00525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9C955" w14:textId="77777777" w:rsidR="00A74451" w:rsidRDefault="00A74451" w:rsidP="00F82EB5">
      <w:pPr>
        <w:spacing w:after="0" w:line="240" w:lineRule="auto"/>
      </w:pPr>
      <w:r>
        <w:separator/>
      </w:r>
    </w:p>
  </w:footnote>
  <w:footnote w:type="continuationSeparator" w:id="0">
    <w:p w14:paraId="1DBBC412" w14:textId="77777777" w:rsidR="00A74451" w:rsidRDefault="00A74451" w:rsidP="00F82EB5">
      <w:pPr>
        <w:spacing w:after="0" w:line="240" w:lineRule="auto"/>
      </w:pPr>
      <w:r>
        <w:continuationSeparator/>
      </w:r>
    </w:p>
  </w:footnote>
  <w:footnote w:id="1">
    <w:p w14:paraId="4B5F71C9" w14:textId="77401768" w:rsidR="00797992" w:rsidRDefault="00797992">
      <w:pPr>
        <w:pStyle w:val="FootnoteText"/>
      </w:pPr>
      <w:r>
        <w:rPr>
          <w:rStyle w:val="FootnoteReference"/>
        </w:rPr>
        <w:footnoteRef/>
      </w:r>
      <w:r w:rsidR="00D15A0A">
        <w:t xml:space="preserve"> Defined in this issue</w:t>
      </w:r>
      <w:r>
        <w:t xml:space="preserve"> brief as people who are aged 65 and over.</w:t>
      </w:r>
    </w:p>
  </w:footnote>
  <w:footnote w:id="2">
    <w:p w14:paraId="2BE34EE9" w14:textId="77777777" w:rsidR="00E9598A" w:rsidRDefault="00E9598A" w:rsidP="00E9598A">
      <w:pPr>
        <w:pStyle w:val="FootnoteText"/>
      </w:pPr>
      <w:r>
        <w:rPr>
          <w:rStyle w:val="FootnoteReference"/>
        </w:rPr>
        <w:footnoteRef/>
      </w:r>
      <w:r>
        <w:t xml:space="preserve"> Long-term services and supports include nursing home care.</w:t>
      </w:r>
    </w:p>
  </w:footnote>
  <w:footnote w:id="3">
    <w:p w14:paraId="12A7CF89" w14:textId="77777777" w:rsidR="007852FB" w:rsidRDefault="007852FB" w:rsidP="007852FB">
      <w:pPr>
        <w:pStyle w:val="FootnoteText"/>
      </w:pPr>
      <w:r>
        <w:rPr>
          <w:rStyle w:val="FootnoteReference"/>
        </w:rPr>
        <w:footnoteRef/>
      </w:r>
      <w:r>
        <w:t xml:space="preserve"> Activities of daily living include such things as eating, bathing, and dressing. </w:t>
      </w:r>
    </w:p>
  </w:footnote>
  <w:footnote w:id="4">
    <w:p w14:paraId="4461FBDB" w14:textId="23239555" w:rsidR="00BF1826" w:rsidRDefault="00BF1826">
      <w:pPr>
        <w:pStyle w:val="FootnoteText"/>
      </w:pPr>
      <w:r>
        <w:rPr>
          <w:rStyle w:val="FootnoteReference"/>
        </w:rPr>
        <w:footnoteRef/>
      </w:r>
      <w:r>
        <w:t xml:space="preserve"> The Minimum Data Set is a resident assessment form, which all Medicare and Medicaid-certified nursing homes must use when assessing the needs of their residents. </w:t>
      </w:r>
    </w:p>
  </w:footnote>
  <w:footnote w:id="5">
    <w:p w14:paraId="00465B17" w14:textId="52248E7F" w:rsidR="00C91DDF" w:rsidRDefault="00C91DDF">
      <w:pPr>
        <w:pStyle w:val="FootnoteText"/>
      </w:pPr>
      <w:r>
        <w:rPr>
          <w:rStyle w:val="FootnoteReference"/>
        </w:rPr>
        <w:footnoteRef/>
      </w:r>
      <w:r>
        <w:t xml:space="preserve"> </w:t>
      </w:r>
      <w:r w:rsidR="00A73B25">
        <w:t xml:space="preserve">Author’s calculations using data from </w:t>
      </w:r>
      <w:r w:rsidR="00A73B25" w:rsidRPr="00A73B25">
        <w:t xml:space="preserve">Eiken </w:t>
      </w:r>
      <w:r w:rsidR="00427BD7">
        <w:t>et al.,</w:t>
      </w:r>
      <w:r w:rsidR="00A73B25" w:rsidRPr="00A73B25">
        <w:t>, September 2015</w:t>
      </w:r>
      <w:r w:rsidR="00A73B25">
        <w:t>.</w:t>
      </w:r>
    </w:p>
  </w:footnote>
  <w:footnote w:id="6">
    <w:p w14:paraId="5E6F357A" w14:textId="06A08874" w:rsidR="00BF1826" w:rsidRDefault="00BF1826">
      <w:pPr>
        <w:pStyle w:val="FootnoteText"/>
      </w:pPr>
      <w:r>
        <w:rPr>
          <w:rStyle w:val="FootnoteReference"/>
        </w:rPr>
        <w:footnoteRef/>
      </w:r>
      <w:r>
        <w:t xml:space="preserve"> Medicaid’s medically needy program is a state option that enables people to subtract their medical and LTSS spending from their countable income to qualify for the program.</w:t>
      </w:r>
    </w:p>
  </w:footnote>
  <w:footnote w:id="7">
    <w:p w14:paraId="7F5EDF8E" w14:textId="77777777" w:rsidR="00525F19" w:rsidRDefault="00525F19">
      <w:pPr>
        <w:pStyle w:val="FootnoteText"/>
      </w:pPr>
      <w:r>
        <w:rPr>
          <w:rStyle w:val="FootnoteReference"/>
        </w:rPr>
        <w:footnoteRef/>
      </w:r>
      <w:r>
        <w:t xml:space="preserve"> Dual eligibles are people who are beneficiaries of Medicare and Medicaid at the same time. </w:t>
      </w:r>
    </w:p>
  </w:footnote>
  <w:footnote w:id="8">
    <w:p w14:paraId="75B33AD3" w14:textId="0CE09062" w:rsidR="00525F19" w:rsidRDefault="00525F19">
      <w:pPr>
        <w:pStyle w:val="FootnoteText"/>
      </w:pPr>
      <w:r>
        <w:rPr>
          <w:rStyle w:val="FootnoteReference"/>
        </w:rPr>
        <w:footnoteRef/>
      </w:r>
      <w:r>
        <w:t xml:space="preserve"> Low care residents are those who do not need physical assistance with bed mobility, toileting, transferring, or eating and are not classified as needing specialized rehabilitation or clinically complex. Research indicates that low care residents have significantly better cognition than other residents (Thomas and Mor, 2013b).</w:t>
      </w:r>
    </w:p>
  </w:footnote>
  <w:footnote w:id="9">
    <w:p w14:paraId="2E97D152" w14:textId="3E68438B" w:rsidR="00B47864" w:rsidRDefault="00B47864">
      <w:pPr>
        <w:pStyle w:val="FootnoteText"/>
      </w:pPr>
      <w:r>
        <w:rPr>
          <w:rStyle w:val="FootnoteReference"/>
        </w:rPr>
        <w:footnoteRef/>
      </w:r>
      <w:r>
        <w:t xml:space="preserve"> More information about this program and its results can be found at: </w:t>
      </w:r>
      <w:hyperlink r:id="rId1" w:history="1">
        <w:r w:rsidR="00D0306F">
          <w:rPr>
            <w:rStyle w:val="Hyperlink"/>
          </w:rPr>
          <w:t>National Alzheimer's Disease Resource Center</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877"/>
    <w:multiLevelType w:val="hybridMultilevel"/>
    <w:tmpl w:val="9398A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D07D1"/>
    <w:multiLevelType w:val="hybridMultilevel"/>
    <w:tmpl w:val="122C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313E3"/>
    <w:multiLevelType w:val="hybridMultilevel"/>
    <w:tmpl w:val="FA2E5816"/>
    <w:lvl w:ilvl="0" w:tplc="DB2006C4">
      <w:start w:val="1"/>
      <w:numFmt w:val="decimal"/>
      <w:lvlText w:val="%1."/>
      <w:lvlJc w:val="left"/>
      <w:pPr>
        <w:ind w:left="720" w:hanging="360"/>
      </w:pPr>
      <w:rPr>
        <w:rFonts w:asciiTheme="minorHAnsi" w:hAnsiTheme="minorHAnsi"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84EE5"/>
    <w:multiLevelType w:val="hybridMultilevel"/>
    <w:tmpl w:val="4CB8BD42"/>
    <w:lvl w:ilvl="0" w:tplc="0532A9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F28F5"/>
    <w:multiLevelType w:val="hybridMultilevel"/>
    <w:tmpl w:val="ECF4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80535"/>
    <w:multiLevelType w:val="hybridMultilevel"/>
    <w:tmpl w:val="961E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E553A"/>
    <w:multiLevelType w:val="hybridMultilevel"/>
    <w:tmpl w:val="2CEA6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E02FBD"/>
    <w:multiLevelType w:val="hybridMultilevel"/>
    <w:tmpl w:val="506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53AA4"/>
    <w:multiLevelType w:val="hybridMultilevel"/>
    <w:tmpl w:val="B150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06D09"/>
    <w:multiLevelType w:val="hybridMultilevel"/>
    <w:tmpl w:val="838035F8"/>
    <w:lvl w:ilvl="0" w:tplc="D53ABDA4">
      <w:start w:val="1"/>
      <w:numFmt w:val="bullet"/>
      <w:lvlText w:val="•"/>
      <w:lvlJc w:val="left"/>
      <w:pPr>
        <w:tabs>
          <w:tab w:val="num" w:pos="1080"/>
        </w:tabs>
        <w:ind w:left="1080" w:hanging="360"/>
      </w:pPr>
      <w:rPr>
        <w:rFonts w:ascii="Arial" w:hAnsi="Arial" w:hint="default"/>
      </w:rPr>
    </w:lvl>
    <w:lvl w:ilvl="1" w:tplc="E32CCC9C" w:tentative="1">
      <w:start w:val="1"/>
      <w:numFmt w:val="bullet"/>
      <w:lvlText w:val="•"/>
      <w:lvlJc w:val="left"/>
      <w:pPr>
        <w:tabs>
          <w:tab w:val="num" w:pos="1800"/>
        </w:tabs>
        <w:ind w:left="1800" w:hanging="360"/>
      </w:pPr>
      <w:rPr>
        <w:rFonts w:ascii="Arial" w:hAnsi="Arial" w:hint="default"/>
      </w:rPr>
    </w:lvl>
    <w:lvl w:ilvl="2" w:tplc="190095B8" w:tentative="1">
      <w:start w:val="1"/>
      <w:numFmt w:val="bullet"/>
      <w:lvlText w:val="•"/>
      <w:lvlJc w:val="left"/>
      <w:pPr>
        <w:tabs>
          <w:tab w:val="num" w:pos="2520"/>
        </w:tabs>
        <w:ind w:left="2520" w:hanging="360"/>
      </w:pPr>
      <w:rPr>
        <w:rFonts w:ascii="Arial" w:hAnsi="Arial" w:hint="default"/>
      </w:rPr>
    </w:lvl>
    <w:lvl w:ilvl="3" w:tplc="4C90B60C" w:tentative="1">
      <w:start w:val="1"/>
      <w:numFmt w:val="bullet"/>
      <w:lvlText w:val="•"/>
      <w:lvlJc w:val="left"/>
      <w:pPr>
        <w:tabs>
          <w:tab w:val="num" w:pos="3240"/>
        </w:tabs>
        <w:ind w:left="3240" w:hanging="360"/>
      </w:pPr>
      <w:rPr>
        <w:rFonts w:ascii="Arial" w:hAnsi="Arial" w:hint="default"/>
      </w:rPr>
    </w:lvl>
    <w:lvl w:ilvl="4" w:tplc="86B07370" w:tentative="1">
      <w:start w:val="1"/>
      <w:numFmt w:val="bullet"/>
      <w:lvlText w:val="•"/>
      <w:lvlJc w:val="left"/>
      <w:pPr>
        <w:tabs>
          <w:tab w:val="num" w:pos="3960"/>
        </w:tabs>
        <w:ind w:left="3960" w:hanging="360"/>
      </w:pPr>
      <w:rPr>
        <w:rFonts w:ascii="Arial" w:hAnsi="Arial" w:hint="default"/>
      </w:rPr>
    </w:lvl>
    <w:lvl w:ilvl="5" w:tplc="31061FE6" w:tentative="1">
      <w:start w:val="1"/>
      <w:numFmt w:val="bullet"/>
      <w:lvlText w:val="•"/>
      <w:lvlJc w:val="left"/>
      <w:pPr>
        <w:tabs>
          <w:tab w:val="num" w:pos="4680"/>
        </w:tabs>
        <w:ind w:left="4680" w:hanging="360"/>
      </w:pPr>
      <w:rPr>
        <w:rFonts w:ascii="Arial" w:hAnsi="Arial" w:hint="default"/>
      </w:rPr>
    </w:lvl>
    <w:lvl w:ilvl="6" w:tplc="2068B716" w:tentative="1">
      <w:start w:val="1"/>
      <w:numFmt w:val="bullet"/>
      <w:lvlText w:val="•"/>
      <w:lvlJc w:val="left"/>
      <w:pPr>
        <w:tabs>
          <w:tab w:val="num" w:pos="5400"/>
        </w:tabs>
        <w:ind w:left="5400" w:hanging="360"/>
      </w:pPr>
      <w:rPr>
        <w:rFonts w:ascii="Arial" w:hAnsi="Arial" w:hint="default"/>
      </w:rPr>
    </w:lvl>
    <w:lvl w:ilvl="7" w:tplc="7ABAB2E8" w:tentative="1">
      <w:start w:val="1"/>
      <w:numFmt w:val="bullet"/>
      <w:lvlText w:val="•"/>
      <w:lvlJc w:val="left"/>
      <w:pPr>
        <w:tabs>
          <w:tab w:val="num" w:pos="6120"/>
        </w:tabs>
        <w:ind w:left="6120" w:hanging="360"/>
      </w:pPr>
      <w:rPr>
        <w:rFonts w:ascii="Arial" w:hAnsi="Arial" w:hint="default"/>
      </w:rPr>
    </w:lvl>
    <w:lvl w:ilvl="8" w:tplc="EC783CD0" w:tentative="1">
      <w:start w:val="1"/>
      <w:numFmt w:val="bullet"/>
      <w:lvlText w:val="•"/>
      <w:lvlJc w:val="left"/>
      <w:pPr>
        <w:tabs>
          <w:tab w:val="num" w:pos="6840"/>
        </w:tabs>
        <w:ind w:left="6840" w:hanging="360"/>
      </w:pPr>
      <w:rPr>
        <w:rFonts w:ascii="Arial" w:hAnsi="Arial" w:hint="default"/>
      </w:rPr>
    </w:lvl>
  </w:abstractNum>
  <w:abstractNum w:abstractNumId="10">
    <w:nsid w:val="1BD97E89"/>
    <w:multiLevelType w:val="hybridMultilevel"/>
    <w:tmpl w:val="5FC4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5439E"/>
    <w:multiLevelType w:val="hybridMultilevel"/>
    <w:tmpl w:val="6D60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F4429"/>
    <w:multiLevelType w:val="hybridMultilevel"/>
    <w:tmpl w:val="1F2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D5052"/>
    <w:multiLevelType w:val="hybridMultilevel"/>
    <w:tmpl w:val="3A12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2042E"/>
    <w:multiLevelType w:val="hybridMultilevel"/>
    <w:tmpl w:val="F33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C26790"/>
    <w:multiLevelType w:val="hybridMultilevel"/>
    <w:tmpl w:val="76842AD4"/>
    <w:lvl w:ilvl="0" w:tplc="04090003">
      <w:start w:val="1"/>
      <w:numFmt w:val="bullet"/>
      <w:lvlText w:val="o"/>
      <w:lvlJc w:val="left"/>
      <w:pPr>
        <w:tabs>
          <w:tab w:val="num" w:pos="1080"/>
        </w:tabs>
        <w:ind w:left="1080" w:hanging="360"/>
      </w:pPr>
      <w:rPr>
        <w:rFonts w:ascii="Courier New" w:hAnsi="Courier New" w:cs="Courier New" w:hint="default"/>
      </w:rPr>
    </w:lvl>
    <w:lvl w:ilvl="1" w:tplc="E32CCC9C" w:tentative="1">
      <w:start w:val="1"/>
      <w:numFmt w:val="bullet"/>
      <w:lvlText w:val="•"/>
      <w:lvlJc w:val="left"/>
      <w:pPr>
        <w:tabs>
          <w:tab w:val="num" w:pos="1800"/>
        </w:tabs>
        <w:ind w:left="1800" w:hanging="360"/>
      </w:pPr>
      <w:rPr>
        <w:rFonts w:ascii="Arial" w:hAnsi="Arial" w:hint="default"/>
      </w:rPr>
    </w:lvl>
    <w:lvl w:ilvl="2" w:tplc="190095B8" w:tentative="1">
      <w:start w:val="1"/>
      <w:numFmt w:val="bullet"/>
      <w:lvlText w:val="•"/>
      <w:lvlJc w:val="left"/>
      <w:pPr>
        <w:tabs>
          <w:tab w:val="num" w:pos="2520"/>
        </w:tabs>
        <w:ind w:left="2520" w:hanging="360"/>
      </w:pPr>
      <w:rPr>
        <w:rFonts w:ascii="Arial" w:hAnsi="Arial" w:hint="default"/>
      </w:rPr>
    </w:lvl>
    <w:lvl w:ilvl="3" w:tplc="4C90B60C" w:tentative="1">
      <w:start w:val="1"/>
      <w:numFmt w:val="bullet"/>
      <w:lvlText w:val="•"/>
      <w:lvlJc w:val="left"/>
      <w:pPr>
        <w:tabs>
          <w:tab w:val="num" w:pos="3240"/>
        </w:tabs>
        <w:ind w:left="3240" w:hanging="360"/>
      </w:pPr>
      <w:rPr>
        <w:rFonts w:ascii="Arial" w:hAnsi="Arial" w:hint="default"/>
      </w:rPr>
    </w:lvl>
    <w:lvl w:ilvl="4" w:tplc="86B07370" w:tentative="1">
      <w:start w:val="1"/>
      <w:numFmt w:val="bullet"/>
      <w:lvlText w:val="•"/>
      <w:lvlJc w:val="left"/>
      <w:pPr>
        <w:tabs>
          <w:tab w:val="num" w:pos="3960"/>
        </w:tabs>
        <w:ind w:left="3960" w:hanging="360"/>
      </w:pPr>
      <w:rPr>
        <w:rFonts w:ascii="Arial" w:hAnsi="Arial" w:hint="default"/>
      </w:rPr>
    </w:lvl>
    <w:lvl w:ilvl="5" w:tplc="31061FE6" w:tentative="1">
      <w:start w:val="1"/>
      <w:numFmt w:val="bullet"/>
      <w:lvlText w:val="•"/>
      <w:lvlJc w:val="left"/>
      <w:pPr>
        <w:tabs>
          <w:tab w:val="num" w:pos="4680"/>
        </w:tabs>
        <w:ind w:left="4680" w:hanging="360"/>
      </w:pPr>
      <w:rPr>
        <w:rFonts w:ascii="Arial" w:hAnsi="Arial" w:hint="default"/>
      </w:rPr>
    </w:lvl>
    <w:lvl w:ilvl="6" w:tplc="2068B716" w:tentative="1">
      <w:start w:val="1"/>
      <w:numFmt w:val="bullet"/>
      <w:lvlText w:val="•"/>
      <w:lvlJc w:val="left"/>
      <w:pPr>
        <w:tabs>
          <w:tab w:val="num" w:pos="5400"/>
        </w:tabs>
        <w:ind w:left="5400" w:hanging="360"/>
      </w:pPr>
      <w:rPr>
        <w:rFonts w:ascii="Arial" w:hAnsi="Arial" w:hint="default"/>
      </w:rPr>
    </w:lvl>
    <w:lvl w:ilvl="7" w:tplc="7ABAB2E8" w:tentative="1">
      <w:start w:val="1"/>
      <w:numFmt w:val="bullet"/>
      <w:lvlText w:val="•"/>
      <w:lvlJc w:val="left"/>
      <w:pPr>
        <w:tabs>
          <w:tab w:val="num" w:pos="6120"/>
        </w:tabs>
        <w:ind w:left="6120" w:hanging="360"/>
      </w:pPr>
      <w:rPr>
        <w:rFonts w:ascii="Arial" w:hAnsi="Arial" w:hint="default"/>
      </w:rPr>
    </w:lvl>
    <w:lvl w:ilvl="8" w:tplc="EC783CD0" w:tentative="1">
      <w:start w:val="1"/>
      <w:numFmt w:val="bullet"/>
      <w:lvlText w:val="•"/>
      <w:lvlJc w:val="left"/>
      <w:pPr>
        <w:tabs>
          <w:tab w:val="num" w:pos="6840"/>
        </w:tabs>
        <w:ind w:left="6840" w:hanging="360"/>
      </w:pPr>
      <w:rPr>
        <w:rFonts w:ascii="Arial" w:hAnsi="Arial" w:hint="default"/>
      </w:rPr>
    </w:lvl>
  </w:abstractNum>
  <w:abstractNum w:abstractNumId="16">
    <w:nsid w:val="2A52585A"/>
    <w:multiLevelType w:val="hybridMultilevel"/>
    <w:tmpl w:val="A5E2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3264E2"/>
    <w:multiLevelType w:val="hybridMultilevel"/>
    <w:tmpl w:val="22FEAC62"/>
    <w:lvl w:ilvl="0" w:tplc="490A5CB0">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2C1B4BA3"/>
    <w:multiLevelType w:val="hybridMultilevel"/>
    <w:tmpl w:val="CB32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66FBB"/>
    <w:multiLevelType w:val="hybridMultilevel"/>
    <w:tmpl w:val="34D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F20C24"/>
    <w:multiLevelType w:val="hybridMultilevel"/>
    <w:tmpl w:val="029A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D218B2"/>
    <w:multiLevelType w:val="hybridMultilevel"/>
    <w:tmpl w:val="2D1E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C3D43"/>
    <w:multiLevelType w:val="hybridMultilevel"/>
    <w:tmpl w:val="03148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81003EA"/>
    <w:multiLevelType w:val="hybridMultilevel"/>
    <w:tmpl w:val="A63E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94501"/>
    <w:multiLevelType w:val="hybridMultilevel"/>
    <w:tmpl w:val="EBD87F2A"/>
    <w:lvl w:ilvl="0" w:tplc="081A2C98">
      <w:start w:val="1"/>
      <w:numFmt w:val="bullet"/>
      <w:lvlText w:val="•"/>
      <w:lvlJc w:val="left"/>
      <w:pPr>
        <w:tabs>
          <w:tab w:val="num" w:pos="720"/>
        </w:tabs>
        <w:ind w:left="720" w:hanging="360"/>
      </w:pPr>
      <w:rPr>
        <w:rFonts w:ascii="Arial" w:hAnsi="Arial" w:hint="default"/>
      </w:rPr>
    </w:lvl>
    <w:lvl w:ilvl="1" w:tplc="2BBE7280" w:tentative="1">
      <w:start w:val="1"/>
      <w:numFmt w:val="bullet"/>
      <w:lvlText w:val="•"/>
      <w:lvlJc w:val="left"/>
      <w:pPr>
        <w:tabs>
          <w:tab w:val="num" w:pos="1440"/>
        </w:tabs>
        <w:ind w:left="1440" w:hanging="360"/>
      </w:pPr>
      <w:rPr>
        <w:rFonts w:ascii="Arial" w:hAnsi="Arial" w:hint="default"/>
      </w:rPr>
    </w:lvl>
    <w:lvl w:ilvl="2" w:tplc="05E69294" w:tentative="1">
      <w:start w:val="1"/>
      <w:numFmt w:val="bullet"/>
      <w:lvlText w:val="•"/>
      <w:lvlJc w:val="left"/>
      <w:pPr>
        <w:tabs>
          <w:tab w:val="num" w:pos="2160"/>
        </w:tabs>
        <w:ind w:left="2160" w:hanging="360"/>
      </w:pPr>
      <w:rPr>
        <w:rFonts w:ascii="Arial" w:hAnsi="Arial" w:hint="default"/>
      </w:rPr>
    </w:lvl>
    <w:lvl w:ilvl="3" w:tplc="ACC200CE" w:tentative="1">
      <w:start w:val="1"/>
      <w:numFmt w:val="bullet"/>
      <w:lvlText w:val="•"/>
      <w:lvlJc w:val="left"/>
      <w:pPr>
        <w:tabs>
          <w:tab w:val="num" w:pos="2880"/>
        </w:tabs>
        <w:ind w:left="2880" w:hanging="360"/>
      </w:pPr>
      <w:rPr>
        <w:rFonts w:ascii="Arial" w:hAnsi="Arial" w:hint="default"/>
      </w:rPr>
    </w:lvl>
    <w:lvl w:ilvl="4" w:tplc="1B8081A4" w:tentative="1">
      <w:start w:val="1"/>
      <w:numFmt w:val="bullet"/>
      <w:lvlText w:val="•"/>
      <w:lvlJc w:val="left"/>
      <w:pPr>
        <w:tabs>
          <w:tab w:val="num" w:pos="3600"/>
        </w:tabs>
        <w:ind w:left="3600" w:hanging="360"/>
      </w:pPr>
      <w:rPr>
        <w:rFonts w:ascii="Arial" w:hAnsi="Arial" w:hint="default"/>
      </w:rPr>
    </w:lvl>
    <w:lvl w:ilvl="5" w:tplc="EB6E69AE" w:tentative="1">
      <w:start w:val="1"/>
      <w:numFmt w:val="bullet"/>
      <w:lvlText w:val="•"/>
      <w:lvlJc w:val="left"/>
      <w:pPr>
        <w:tabs>
          <w:tab w:val="num" w:pos="4320"/>
        </w:tabs>
        <w:ind w:left="4320" w:hanging="360"/>
      </w:pPr>
      <w:rPr>
        <w:rFonts w:ascii="Arial" w:hAnsi="Arial" w:hint="default"/>
      </w:rPr>
    </w:lvl>
    <w:lvl w:ilvl="6" w:tplc="A9244912" w:tentative="1">
      <w:start w:val="1"/>
      <w:numFmt w:val="bullet"/>
      <w:lvlText w:val="•"/>
      <w:lvlJc w:val="left"/>
      <w:pPr>
        <w:tabs>
          <w:tab w:val="num" w:pos="5040"/>
        </w:tabs>
        <w:ind w:left="5040" w:hanging="360"/>
      </w:pPr>
      <w:rPr>
        <w:rFonts w:ascii="Arial" w:hAnsi="Arial" w:hint="default"/>
      </w:rPr>
    </w:lvl>
    <w:lvl w:ilvl="7" w:tplc="A5843784" w:tentative="1">
      <w:start w:val="1"/>
      <w:numFmt w:val="bullet"/>
      <w:lvlText w:val="•"/>
      <w:lvlJc w:val="left"/>
      <w:pPr>
        <w:tabs>
          <w:tab w:val="num" w:pos="5760"/>
        </w:tabs>
        <w:ind w:left="5760" w:hanging="360"/>
      </w:pPr>
      <w:rPr>
        <w:rFonts w:ascii="Arial" w:hAnsi="Arial" w:hint="default"/>
      </w:rPr>
    </w:lvl>
    <w:lvl w:ilvl="8" w:tplc="3F32AE8A" w:tentative="1">
      <w:start w:val="1"/>
      <w:numFmt w:val="bullet"/>
      <w:lvlText w:val="•"/>
      <w:lvlJc w:val="left"/>
      <w:pPr>
        <w:tabs>
          <w:tab w:val="num" w:pos="6480"/>
        </w:tabs>
        <w:ind w:left="6480" w:hanging="360"/>
      </w:pPr>
      <w:rPr>
        <w:rFonts w:ascii="Arial" w:hAnsi="Arial" w:hint="default"/>
      </w:rPr>
    </w:lvl>
  </w:abstractNum>
  <w:abstractNum w:abstractNumId="25">
    <w:nsid w:val="497A0617"/>
    <w:multiLevelType w:val="hybridMultilevel"/>
    <w:tmpl w:val="C50042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4B3C0090"/>
    <w:multiLevelType w:val="hybridMultilevel"/>
    <w:tmpl w:val="90BC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35FF5"/>
    <w:multiLevelType w:val="hybridMultilevel"/>
    <w:tmpl w:val="1DDC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B6EE3"/>
    <w:multiLevelType w:val="hybridMultilevel"/>
    <w:tmpl w:val="B666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B400B7"/>
    <w:multiLevelType w:val="hybridMultilevel"/>
    <w:tmpl w:val="5618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8E7102"/>
    <w:multiLevelType w:val="hybridMultilevel"/>
    <w:tmpl w:val="50C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C637CC"/>
    <w:multiLevelType w:val="hybridMultilevel"/>
    <w:tmpl w:val="B3AA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E6B9D"/>
    <w:multiLevelType w:val="hybridMultilevel"/>
    <w:tmpl w:val="AE405E8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56177E"/>
    <w:multiLevelType w:val="hybridMultilevel"/>
    <w:tmpl w:val="AC5E252E"/>
    <w:lvl w:ilvl="0" w:tplc="0409000F">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1512D38"/>
    <w:multiLevelType w:val="hybridMultilevel"/>
    <w:tmpl w:val="175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F20CC4"/>
    <w:multiLevelType w:val="hybridMultilevel"/>
    <w:tmpl w:val="51A6D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619B1"/>
    <w:multiLevelType w:val="hybridMultilevel"/>
    <w:tmpl w:val="823224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9829A6"/>
    <w:multiLevelType w:val="hybridMultilevel"/>
    <w:tmpl w:val="961E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2A64C2"/>
    <w:multiLevelType w:val="hybridMultilevel"/>
    <w:tmpl w:val="B388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140DC"/>
    <w:multiLevelType w:val="hybridMultilevel"/>
    <w:tmpl w:val="961E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B04DB"/>
    <w:multiLevelType w:val="hybridMultilevel"/>
    <w:tmpl w:val="075C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9"/>
  </w:num>
  <w:num w:numId="4">
    <w:abstractNumId w:val="24"/>
  </w:num>
  <w:num w:numId="5">
    <w:abstractNumId w:val="37"/>
  </w:num>
  <w:num w:numId="6">
    <w:abstractNumId w:val="31"/>
  </w:num>
  <w:num w:numId="7">
    <w:abstractNumId w:val="34"/>
  </w:num>
  <w:num w:numId="8">
    <w:abstractNumId w:val="5"/>
  </w:num>
  <w:num w:numId="9">
    <w:abstractNumId w:val="32"/>
  </w:num>
  <w:num w:numId="10">
    <w:abstractNumId w:val="7"/>
  </w:num>
  <w:num w:numId="11">
    <w:abstractNumId w:val="39"/>
  </w:num>
  <w:num w:numId="12">
    <w:abstractNumId w:val="4"/>
  </w:num>
  <w:num w:numId="13">
    <w:abstractNumId w:val="30"/>
  </w:num>
  <w:num w:numId="14">
    <w:abstractNumId w:val="29"/>
  </w:num>
  <w:num w:numId="15">
    <w:abstractNumId w:val="27"/>
  </w:num>
  <w:num w:numId="16">
    <w:abstractNumId w:val="15"/>
  </w:num>
  <w:num w:numId="17">
    <w:abstractNumId w:val="6"/>
  </w:num>
  <w:num w:numId="18">
    <w:abstractNumId w:val="20"/>
  </w:num>
  <w:num w:numId="19">
    <w:abstractNumId w:val="10"/>
  </w:num>
  <w:num w:numId="20">
    <w:abstractNumId w:val="40"/>
  </w:num>
  <w:num w:numId="21">
    <w:abstractNumId w:val="35"/>
  </w:num>
  <w:num w:numId="22">
    <w:abstractNumId w:val="13"/>
  </w:num>
  <w:num w:numId="23">
    <w:abstractNumId w:val="0"/>
  </w:num>
  <w:num w:numId="24">
    <w:abstractNumId w:val="11"/>
  </w:num>
  <w:num w:numId="25">
    <w:abstractNumId w:val="28"/>
  </w:num>
  <w:num w:numId="26">
    <w:abstractNumId w:val="30"/>
  </w:num>
  <w:num w:numId="27">
    <w:abstractNumId w:val="19"/>
  </w:num>
  <w:num w:numId="28">
    <w:abstractNumId w:val="16"/>
  </w:num>
  <w:num w:numId="29">
    <w:abstractNumId w:val="14"/>
  </w:num>
  <w:num w:numId="30">
    <w:abstractNumId w:val="26"/>
  </w:num>
  <w:num w:numId="31">
    <w:abstractNumId w:val="3"/>
  </w:num>
  <w:num w:numId="32">
    <w:abstractNumId w:val="12"/>
  </w:num>
  <w:num w:numId="33">
    <w:abstractNumId w:val="1"/>
  </w:num>
  <w:num w:numId="34">
    <w:abstractNumId w:val="25"/>
  </w:num>
  <w:num w:numId="35">
    <w:abstractNumId w:val="8"/>
  </w:num>
  <w:num w:numId="36">
    <w:abstractNumId w:val="33"/>
  </w:num>
  <w:num w:numId="37">
    <w:abstractNumId w:val="17"/>
  </w:num>
  <w:num w:numId="38">
    <w:abstractNumId w:val="23"/>
  </w:num>
  <w:num w:numId="39">
    <w:abstractNumId w:val="38"/>
  </w:num>
  <w:num w:numId="40">
    <w:abstractNumId w:val="21"/>
  </w:num>
  <w:num w:numId="41">
    <w:abstractNumId w:val="18"/>
  </w:num>
  <w:num w:numId="4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ener, Joshua">
    <w15:presenceInfo w15:providerId="AD" w15:userId="S-1-5-21-2101533902-423532799-1776743176-4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D0"/>
    <w:rsid w:val="00000AB5"/>
    <w:rsid w:val="00003929"/>
    <w:rsid w:val="00015ECB"/>
    <w:rsid w:val="00017A6B"/>
    <w:rsid w:val="000262AA"/>
    <w:rsid w:val="0002651F"/>
    <w:rsid w:val="00031E6D"/>
    <w:rsid w:val="00034A87"/>
    <w:rsid w:val="00035308"/>
    <w:rsid w:val="00037803"/>
    <w:rsid w:val="000412AC"/>
    <w:rsid w:val="00050D61"/>
    <w:rsid w:val="00052CF7"/>
    <w:rsid w:val="000575A5"/>
    <w:rsid w:val="000600D2"/>
    <w:rsid w:val="00066FC7"/>
    <w:rsid w:val="000676A8"/>
    <w:rsid w:val="00076BD4"/>
    <w:rsid w:val="000824E8"/>
    <w:rsid w:val="000850E3"/>
    <w:rsid w:val="00091C0A"/>
    <w:rsid w:val="000932EB"/>
    <w:rsid w:val="000A689B"/>
    <w:rsid w:val="000A6F7D"/>
    <w:rsid w:val="000A7383"/>
    <w:rsid w:val="000B0C82"/>
    <w:rsid w:val="000B37E8"/>
    <w:rsid w:val="000B3B15"/>
    <w:rsid w:val="000B4825"/>
    <w:rsid w:val="000C2F68"/>
    <w:rsid w:val="000C577F"/>
    <w:rsid w:val="000D5638"/>
    <w:rsid w:val="000E26D3"/>
    <w:rsid w:val="000E4679"/>
    <w:rsid w:val="000E6FAF"/>
    <w:rsid w:val="000F1806"/>
    <w:rsid w:val="000F2F69"/>
    <w:rsid w:val="000F300C"/>
    <w:rsid w:val="000F499A"/>
    <w:rsid w:val="000F6166"/>
    <w:rsid w:val="000F6701"/>
    <w:rsid w:val="00100F34"/>
    <w:rsid w:val="00102655"/>
    <w:rsid w:val="00102A7A"/>
    <w:rsid w:val="00112BA9"/>
    <w:rsid w:val="00115EA1"/>
    <w:rsid w:val="001210BE"/>
    <w:rsid w:val="00124EF0"/>
    <w:rsid w:val="00125253"/>
    <w:rsid w:val="00127E91"/>
    <w:rsid w:val="00132E20"/>
    <w:rsid w:val="00133095"/>
    <w:rsid w:val="00140D1C"/>
    <w:rsid w:val="00143172"/>
    <w:rsid w:val="00146942"/>
    <w:rsid w:val="00150ECA"/>
    <w:rsid w:val="001607E7"/>
    <w:rsid w:val="00162511"/>
    <w:rsid w:val="001678AC"/>
    <w:rsid w:val="00170EC7"/>
    <w:rsid w:val="0017491B"/>
    <w:rsid w:val="0018446E"/>
    <w:rsid w:val="00185DDD"/>
    <w:rsid w:val="00191A78"/>
    <w:rsid w:val="001977EF"/>
    <w:rsid w:val="001A07D4"/>
    <w:rsid w:val="001A140E"/>
    <w:rsid w:val="001A242B"/>
    <w:rsid w:val="001A5BFC"/>
    <w:rsid w:val="001B01DC"/>
    <w:rsid w:val="001B6349"/>
    <w:rsid w:val="001C1DE6"/>
    <w:rsid w:val="001C31FF"/>
    <w:rsid w:val="001D04B4"/>
    <w:rsid w:val="001D0A9E"/>
    <w:rsid w:val="001D4C8F"/>
    <w:rsid w:val="001E07E8"/>
    <w:rsid w:val="001E153F"/>
    <w:rsid w:val="001E4CB6"/>
    <w:rsid w:val="001F22C9"/>
    <w:rsid w:val="001F4AA3"/>
    <w:rsid w:val="001F50AE"/>
    <w:rsid w:val="001F50E5"/>
    <w:rsid w:val="001F55A1"/>
    <w:rsid w:val="0020117D"/>
    <w:rsid w:val="0020191F"/>
    <w:rsid w:val="00201CE7"/>
    <w:rsid w:val="0020206F"/>
    <w:rsid w:val="00202A02"/>
    <w:rsid w:val="0020452F"/>
    <w:rsid w:val="00207622"/>
    <w:rsid w:val="00214402"/>
    <w:rsid w:val="0021470F"/>
    <w:rsid w:val="00222743"/>
    <w:rsid w:val="002242C1"/>
    <w:rsid w:val="00233B1E"/>
    <w:rsid w:val="002340C5"/>
    <w:rsid w:val="00241D59"/>
    <w:rsid w:val="00245E03"/>
    <w:rsid w:val="0024614B"/>
    <w:rsid w:val="00281224"/>
    <w:rsid w:val="002856E2"/>
    <w:rsid w:val="0028784E"/>
    <w:rsid w:val="00292227"/>
    <w:rsid w:val="0029280C"/>
    <w:rsid w:val="00293867"/>
    <w:rsid w:val="00297484"/>
    <w:rsid w:val="002A09B0"/>
    <w:rsid w:val="002A6822"/>
    <w:rsid w:val="002B2D72"/>
    <w:rsid w:val="002B4EE7"/>
    <w:rsid w:val="002C0FBC"/>
    <w:rsid w:val="002C32D6"/>
    <w:rsid w:val="002C4A58"/>
    <w:rsid w:val="002C51EB"/>
    <w:rsid w:val="002C63CE"/>
    <w:rsid w:val="002C7B6B"/>
    <w:rsid w:val="002D7B02"/>
    <w:rsid w:val="002E1AF0"/>
    <w:rsid w:val="002E2F3C"/>
    <w:rsid w:val="002E3511"/>
    <w:rsid w:val="002E3C7F"/>
    <w:rsid w:val="002E46DE"/>
    <w:rsid w:val="002F20AA"/>
    <w:rsid w:val="002F31A1"/>
    <w:rsid w:val="002F40DB"/>
    <w:rsid w:val="003060A5"/>
    <w:rsid w:val="003108B0"/>
    <w:rsid w:val="00310CDB"/>
    <w:rsid w:val="00310E32"/>
    <w:rsid w:val="003205DC"/>
    <w:rsid w:val="00320C43"/>
    <w:rsid w:val="00321AF3"/>
    <w:rsid w:val="00323F57"/>
    <w:rsid w:val="00324CD0"/>
    <w:rsid w:val="00327E73"/>
    <w:rsid w:val="00337C83"/>
    <w:rsid w:val="00361278"/>
    <w:rsid w:val="00365070"/>
    <w:rsid w:val="00365583"/>
    <w:rsid w:val="00366A1E"/>
    <w:rsid w:val="00367433"/>
    <w:rsid w:val="003714F8"/>
    <w:rsid w:val="003931E3"/>
    <w:rsid w:val="00395898"/>
    <w:rsid w:val="003A008B"/>
    <w:rsid w:val="003A4176"/>
    <w:rsid w:val="003A6057"/>
    <w:rsid w:val="003A6B3D"/>
    <w:rsid w:val="003A73B4"/>
    <w:rsid w:val="003B0C68"/>
    <w:rsid w:val="003B1EA3"/>
    <w:rsid w:val="003B6F16"/>
    <w:rsid w:val="003C40A2"/>
    <w:rsid w:val="003C622C"/>
    <w:rsid w:val="003D25EC"/>
    <w:rsid w:val="003D2CF7"/>
    <w:rsid w:val="003D4CCE"/>
    <w:rsid w:val="003D5A8A"/>
    <w:rsid w:val="003D6D2E"/>
    <w:rsid w:val="003E18D3"/>
    <w:rsid w:val="003E2855"/>
    <w:rsid w:val="003E4CCB"/>
    <w:rsid w:val="003E72B1"/>
    <w:rsid w:val="003F54A7"/>
    <w:rsid w:val="003F5AAD"/>
    <w:rsid w:val="003F75C0"/>
    <w:rsid w:val="003F7685"/>
    <w:rsid w:val="00407CC7"/>
    <w:rsid w:val="00407E36"/>
    <w:rsid w:val="004103BE"/>
    <w:rsid w:val="00410A70"/>
    <w:rsid w:val="004133CB"/>
    <w:rsid w:val="004172B5"/>
    <w:rsid w:val="00426313"/>
    <w:rsid w:val="00427BD7"/>
    <w:rsid w:val="00431168"/>
    <w:rsid w:val="00453F4E"/>
    <w:rsid w:val="0045718A"/>
    <w:rsid w:val="0046229D"/>
    <w:rsid w:val="0046429A"/>
    <w:rsid w:val="00465F85"/>
    <w:rsid w:val="00466119"/>
    <w:rsid w:val="00467EFF"/>
    <w:rsid w:val="00467F09"/>
    <w:rsid w:val="00474085"/>
    <w:rsid w:val="00475D56"/>
    <w:rsid w:val="004825DF"/>
    <w:rsid w:val="004828C0"/>
    <w:rsid w:val="00483C50"/>
    <w:rsid w:val="00497921"/>
    <w:rsid w:val="004A4A56"/>
    <w:rsid w:val="004A6FA6"/>
    <w:rsid w:val="004A7DE4"/>
    <w:rsid w:val="004B02E1"/>
    <w:rsid w:val="004B2211"/>
    <w:rsid w:val="004B2C5E"/>
    <w:rsid w:val="004B3498"/>
    <w:rsid w:val="004B5A0E"/>
    <w:rsid w:val="004C19BE"/>
    <w:rsid w:val="004C226A"/>
    <w:rsid w:val="004C263D"/>
    <w:rsid w:val="004C5E2B"/>
    <w:rsid w:val="004C6104"/>
    <w:rsid w:val="004C7E28"/>
    <w:rsid w:val="004D365D"/>
    <w:rsid w:val="004D5035"/>
    <w:rsid w:val="004E368D"/>
    <w:rsid w:val="004E4840"/>
    <w:rsid w:val="00504F63"/>
    <w:rsid w:val="00505C81"/>
    <w:rsid w:val="005061CC"/>
    <w:rsid w:val="0051165F"/>
    <w:rsid w:val="00512C2E"/>
    <w:rsid w:val="00513C2B"/>
    <w:rsid w:val="00514E89"/>
    <w:rsid w:val="00514F6E"/>
    <w:rsid w:val="005156B4"/>
    <w:rsid w:val="00515E54"/>
    <w:rsid w:val="00516CC6"/>
    <w:rsid w:val="00522637"/>
    <w:rsid w:val="005253B4"/>
    <w:rsid w:val="00525F19"/>
    <w:rsid w:val="00541CEA"/>
    <w:rsid w:val="00542DE5"/>
    <w:rsid w:val="00547EAE"/>
    <w:rsid w:val="00551AB7"/>
    <w:rsid w:val="0056254A"/>
    <w:rsid w:val="005650D7"/>
    <w:rsid w:val="00571FDF"/>
    <w:rsid w:val="005732CE"/>
    <w:rsid w:val="0058203B"/>
    <w:rsid w:val="005847D5"/>
    <w:rsid w:val="005856CD"/>
    <w:rsid w:val="00594EBE"/>
    <w:rsid w:val="0059525B"/>
    <w:rsid w:val="005963F4"/>
    <w:rsid w:val="00597E63"/>
    <w:rsid w:val="005A5E37"/>
    <w:rsid w:val="005A7EA8"/>
    <w:rsid w:val="005B387B"/>
    <w:rsid w:val="005B38A0"/>
    <w:rsid w:val="005C726D"/>
    <w:rsid w:val="005E3396"/>
    <w:rsid w:val="005E4CBF"/>
    <w:rsid w:val="005F2A96"/>
    <w:rsid w:val="005F624D"/>
    <w:rsid w:val="00605DF4"/>
    <w:rsid w:val="006060DB"/>
    <w:rsid w:val="00611228"/>
    <w:rsid w:val="006162BA"/>
    <w:rsid w:val="00617C91"/>
    <w:rsid w:val="00633FF3"/>
    <w:rsid w:val="006350BD"/>
    <w:rsid w:val="00635A6B"/>
    <w:rsid w:val="00636EEA"/>
    <w:rsid w:val="006442F4"/>
    <w:rsid w:val="00652C32"/>
    <w:rsid w:val="00657034"/>
    <w:rsid w:val="00662391"/>
    <w:rsid w:val="006729D0"/>
    <w:rsid w:val="00674BBD"/>
    <w:rsid w:val="00675108"/>
    <w:rsid w:val="00677873"/>
    <w:rsid w:val="00680213"/>
    <w:rsid w:val="0068366A"/>
    <w:rsid w:val="00684848"/>
    <w:rsid w:val="00684B44"/>
    <w:rsid w:val="006A03E0"/>
    <w:rsid w:val="006A52C4"/>
    <w:rsid w:val="006A691C"/>
    <w:rsid w:val="006A7BD9"/>
    <w:rsid w:val="006B0345"/>
    <w:rsid w:val="006B30DD"/>
    <w:rsid w:val="006B3A81"/>
    <w:rsid w:val="006B4F39"/>
    <w:rsid w:val="006B6B97"/>
    <w:rsid w:val="006B6F3F"/>
    <w:rsid w:val="006C2082"/>
    <w:rsid w:val="006D4CC9"/>
    <w:rsid w:val="006D6699"/>
    <w:rsid w:val="006D750D"/>
    <w:rsid w:val="006D7AA8"/>
    <w:rsid w:val="006E0B15"/>
    <w:rsid w:val="006E154C"/>
    <w:rsid w:val="006E1955"/>
    <w:rsid w:val="006F0E4A"/>
    <w:rsid w:val="006F1227"/>
    <w:rsid w:val="007010D7"/>
    <w:rsid w:val="007019D7"/>
    <w:rsid w:val="00706013"/>
    <w:rsid w:val="0070687A"/>
    <w:rsid w:val="00712965"/>
    <w:rsid w:val="00713376"/>
    <w:rsid w:val="007167B9"/>
    <w:rsid w:val="007208F3"/>
    <w:rsid w:val="007370A3"/>
    <w:rsid w:val="00737179"/>
    <w:rsid w:val="00744C39"/>
    <w:rsid w:val="00745DB8"/>
    <w:rsid w:val="007466EB"/>
    <w:rsid w:val="00751FF7"/>
    <w:rsid w:val="007636C0"/>
    <w:rsid w:val="00767BA2"/>
    <w:rsid w:val="00771D3A"/>
    <w:rsid w:val="007755FE"/>
    <w:rsid w:val="00777090"/>
    <w:rsid w:val="007801B1"/>
    <w:rsid w:val="007822F2"/>
    <w:rsid w:val="007824A7"/>
    <w:rsid w:val="007852FB"/>
    <w:rsid w:val="00787A0B"/>
    <w:rsid w:val="00790510"/>
    <w:rsid w:val="00790F5B"/>
    <w:rsid w:val="00797992"/>
    <w:rsid w:val="007A3DE6"/>
    <w:rsid w:val="007A76A6"/>
    <w:rsid w:val="007A7AA0"/>
    <w:rsid w:val="007B5EDD"/>
    <w:rsid w:val="007C3F77"/>
    <w:rsid w:val="007C4CC5"/>
    <w:rsid w:val="007C675E"/>
    <w:rsid w:val="007C77BF"/>
    <w:rsid w:val="007D10EA"/>
    <w:rsid w:val="007D6F03"/>
    <w:rsid w:val="007E1018"/>
    <w:rsid w:val="007E1B9C"/>
    <w:rsid w:val="007E5215"/>
    <w:rsid w:val="007E7E6B"/>
    <w:rsid w:val="007E7EC8"/>
    <w:rsid w:val="0081349F"/>
    <w:rsid w:val="008149BA"/>
    <w:rsid w:val="00814D1D"/>
    <w:rsid w:val="00816A87"/>
    <w:rsid w:val="008256A8"/>
    <w:rsid w:val="00826519"/>
    <w:rsid w:val="008339B5"/>
    <w:rsid w:val="008423A7"/>
    <w:rsid w:val="0086071A"/>
    <w:rsid w:val="00861489"/>
    <w:rsid w:val="00861550"/>
    <w:rsid w:val="00865332"/>
    <w:rsid w:val="008656C3"/>
    <w:rsid w:val="0086623C"/>
    <w:rsid w:val="00867662"/>
    <w:rsid w:val="00880B93"/>
    <w:rsid w:val="00882AC4"/>
    <w:rsid w:val="008838FB"/>
    <w:rsid w:val="00885F8A"/>
    <w:rsid w:val="00887F03"/>
    <w:rsid w:val="0089269F"/>
    <w:rsid w:val="0089341F"/>
    <w:rsid w:val="00893AD8"/>
    <w:rsid w:val="008A2F11"/>
    <w:rsid w:val="008A3A8D"/>
    <w:rsid w:val="008B29D0"/>
    <w:rsid w:val="008B372B"/>
    <w:rsid w:val="008B3AEB"/>
    <w:rsid w:val="008B4091"/>
    <w:rsid w:val="008B6161"/>
    <w:rsid w:val="008B72ED"/>
    <w:rsid w:val="008C25C0"/>
    <w:rsid w:val="008D0DBD"/>
    <w:rsid w:val="008D1A8C"/>
    <w:rsid w:val="008D61D6"/>
    <w:rsid w:val="008D6372"/>
    <w:rsid w:val="008D6E90"/>
    <w:rsid w:val="008D76B1"/>
    <w:rsid w:val="008E1827"/>
    <w:rsid w:val="008E1A8D"/>
    <w:rsid w:val="008E4F15"/>
    <w:rsid w:val="008E66A5"/>
    <w:rsid w:val="008E7582"/>
    <w:rsid w:val="008F4128"/>
    <w:rsid w:val="009006F0"/>
    <w:rsid w:val="00903F62"/>
    <w:rsid w:val="00912EA8"/>
    <w:rsid w:val="0091481A"/>
    <w:rsid w:val="009345BD"/>
    <w:rsid w:val="00934831"/>
    <w:rsid w:val="0094078A"/>
    <w:rsid w:val="0094407D"/>
    <w:rsid w:val="00945234"/>
    <w:rsid w:val="00945788"/>
    <w:rsid w:val="009467B6"/>
    <w:rsid w:val="0096663D"/>
    <w:rsid w:val="00975F3C"/>
    <w:rsid w:val="00976E80"/>
    <w:rsid w:val="0097769A"/>
    <w:rsid w:val="00993E84"/>
    <w:rsid w:val="009946C6"/>
    <w:rsid w:val="00996607"/>
    <w:rsid w:val="009A583E"/>
    <w:rsid w:val="009A6CB6"/>
    <w:rsid w:val="009C073E"/>
    <w:rsid w:val="009C26C1"/>
    <w:rsid w:val="009C2714"/>
    <w:rsid w:val="009C36AC"/>
    <w:rsid w:val="009C36CC"/>
    <w:rsid w:val="009C47DF"/>
    <w:rsid w:val="009D3AEF"/>
    <w:rsid w:val="009E4B96"/>
    <w:rsid w:val="009E4FA1"/>
    <w:rsid w:val="009E5D34"/>
    <w:rsid w:val="009E5E29"/>
    <w:rsid w:val="009F0504"/>
    <w:rsid w:val="009F25CF"/>
    <w:rsid w:val="009F7295"/>
    <w:rsid w:val="00A01808"/>
    <w:rsid w:val="00A13019"/>
    <w:rsid w:val="00A1640B"/>
    <w:rsid w:val="00A235BE"/>
    <w:rsid w:val="00A35345"/>
    <w:rsid w:val="00A36A0B"/>
    <w:rsid w:val="00A47D1A"/>
    <w:rsid w:val="00A5171D"/>
    <w:rsid w:val="00A53616"/>
    <w:rsid w:val="00A606ED"/>
    <w:rsid w:val="00A61D64"/>
    <w:rsid w:val="00A63792"/>
    <w:rsid w:val="00A64116"/>
    <w:rsid w:val="00A6671A"/>
    <w:rsid w:val="00A70DC1"/>
    <w:rsid w:val="00A72123"/>
    <w:rsid w:val="00A734AE"/>
    <w:rsid w:val="00A73B25"/>
    <w:rsid w:val="00A74451"/>
    <w:rsid w:val="00A74D8B"/>
    <w:rsid w:val="00A76635"/>
    <w:rsid w:val="00A856E5"/>
    <w:rsid w:val="00AA0C48"/>
    <w:rsid w:val="00AA585A"/>
    <w:rsid w:val="00AA7844"/>
    <w:rsid w:val="00AB5971"/>
    <w:rsid w:val="00AC249C"/>
    <w:rsid w:val="00AD1C20"/>
    <w:rsid w:val="00AD6137"/>
    <w:rsid w:val="00AD6C51"/>
    <w:rsid w:val="00AD761C"/>
    <w:rsid w:val="00AE4EB5"/>
    <w:rsid w:val="00AE639F"/>
    <w:rsid w:val="00AF5307"/>
    <w:rsid w:val="00AF7D7D"/>
    <w:rsid w:val="00B01A14"/>
    <w:rsid w:val="00B026C8"/>
    <w:rsid w:val="00B027CB"/>
    <w:rsid w:val="00B06B88"/>
    <w:rsid w:val="00B07A68"/>
    <w:rsid w:val="00B11225"/>
    <w:rsid w:val="00B1624D"/>
    <w:rsid w:val="00B22037"/>
    <w:rsid w:val="00B25619"/>
    <w:rsid w:val="00B31332"/>
    <w:rsid w:val="00B36BBB"/>
    <w:rsid w:val="00B41380"/>
    <w:rsid w:val="00B43658"/>
    <w:rsid w:val="00B4464A"/>
    <w:rsid w:val="00B47689"/>
    <w:rsid w:val="00B47864"/>
    <w:rsid w:val="00B51B05"/>
    <w:rsid w:val="00B55087"/>
    <w:rsid w:val="00B56BC4"/>
    <w:rsid w:val="00B605C9"/>
    <w:rsid w:val="00B61F7A"/>
    <w:rsid w:val="00B62E09"/>
    <w:rsid w:val="00B6389C"/>
    <w:rsid w:val="00B670FC"/>
    <w:rsid w:val="00B71321"/>
    <w:rsid w:val="00B725C4"/>
    <w:rsid w:val="00B75AB3"/>
    <w:rsid w:val="00B855F1"/>
    <w:rsid w:val="00B86F1E"/>
    <w:rsid w:val="00B95348"/>
    <w:rsid w:val="00B96F09"/>
    <w:rsid w:val="00BA0911"/>
    <w:rsid w:val="00BA3264"/>
    <w:rsid w:val="00BA40EE"/>
    <w:rsid w:val="00BA43AA"/>
    <w:rsid w:val="00BA475D"/>
    <w:rsid w:val="00BA69F5"/>
    <w:rsid w:val="00BA7E4D"/>
    <w:rsid w:val="00BB6C4B"/>
    <w:rsid w:val="00BB778E"/>
    <w:rsid w:val="00BC1F91"/>
    <w:rsid w:val="00BC3BA7"/>
    <w:rsid w:val="00BD050F"/>
    <w:rsid w:val="00BF1826"/>
    <w:rsid w:val="00BF34E3"/>
    <w:rsid w:val="00BF5995"/>
    <w:rsid w:val="00C0056A"/>
    <w:rsid w:val="00C020CA"/>
    <w:rsid w:val="00C12A30"/>
    <w:rsid w:val="00C14065"/>
    <w:rsid w:val="00C231DA"/>
    <w:rsid w:val="00C232F2"/>
    <w:rsid w:val="00C2706F"/>
    <w:rsid w:val="00C32736"/>
    <w:rsid w:val="00C34B18"/>
    <w:rsid w:val="00C36E16"/>
    <w:rsid w:val="00C370EF"/>
    <w:rsid w:val="00C374F0"/>
    <w:rsid w:val="00C44F33"/>
    <w:rsid w:val="00C47D10"/>
    <w:rsid w:val="00C50CD8"/>
    <w:rsid w:val="00C63336"/>
    <w:rsid w:val="00C653D9"/>
    <w:rsid w:val="00C7269C"/>
    <w:rsid w:val="00C75518"/>
    <w:rsid w:val="00C759A6"/>
    <w:rsid w:val="00C805B0"/>
    <w:rsid w:val="00C80E47"/>
    <w:rsid w:val="00C813B0"/>
    <w:rsid w:val="00C915EF"/>
    <w:rsid w:val="00C91DDF"/>
    <w:rsid w:val="00C92786"/>
    <w:rsid w:val="00C94E9F"/>
    <w:rsid w:val="00C96CEF"/>
    <w:rsid w:val="00C97630"/>
    <w:rsid w:val="00CA4503"/>
    <w:rsid w:val="00CA77AF"/>
    <w:rsid w:val="00CB2350"/>
    <w:rsid w:val="00CB5AE0"/>
    <w:rsid w:val="00CB762A"/>
    <w:rsid w:val="00CC0D4F"/>
    <w:rsid w:val="00CC2E0F"/>
    <w:rsid w:val="00CC44F1"/>
    <w:rsid w:val="00CC4B1B"/>
    <w:rsid w:val="00CD293F"/>
    <w:rsid w:val="00CD4C14"/>
    <w:rsid w:val="00CE1EBF"/>
    <w:rsid w:val="00CE730C"/>
    <w:rsid w:val="00CF245F"/>
    <w:rsid w:val="00CF40DF"/>
    <w:rsid w:val="00CF663F"/>
    <w:rsid w:val="00D02248"/>
    <w:rsid w:val="00D0306F"/>
    <w:rsid w:val="00D04582"/>
    <w:rsid w:val="00D06876"/>
    <w:rsid w:val="00D15A0A"/>
    <w:rsid w:val="00D212C2"/>
    <w:rsid w:val="00D213C9"/>
    <w:rsid w:val="00D22E03"/>
    <w:rsid w:val="00D2333F"/>
    <w:rsid w:val="00D26FB5"/>
    <w:rsid w:val="00D30E0B"/>
    <w:rsid w:val="00D36EA8"/>
    <w:rsid w:val="00D4170B"/>
    <w:rsid w:val="00D42C37"/>
    <w:rsid w:val="00D437ED"/>
    <w:rsid w:val="00D505D4"/>
    <w:rsid w:val="00D50C36"/>
    <w:rsid w:val="00D55EAB"/>
    <w:rsid w:val="00D570F6"/>
    <w:rsid w:val="00D6241A"/>
    <w:rsid w:val="00D625D6"/>
    <w:rsid w:val="00D65E07"/>
    <w:rsid w:val="00D668C7"/>
    <w:rsid w:val="00D67A93"/>
    <w:rsid w:val="00D705B1"/>
    <w:rsid w:val="00D71F97"/>
    <w:rsid w:val="00D72C5C"/>
    <w:rsid w:val="00D72E31"/>
    <w:rsid w:val="00D736EB"/>
    <w:rsid w:val="00D803AF"/>
    <w:rsid w:val="00D87BCF"/>
    <w:rsid w:val="00D91BE8"/>
    <w:rsid w:val="00D97687"/>
    <w:rsid w:val="00DB0F37"/>
    <w:rsid w:val="00DC3540"/>
    <w:rsid w:val="00DC480D"/>
    <w:rsid w:val="00DD45D4"/>
    <w:rsid w:val="00DD632C"/>
    <w:rsid w:val="00DD7289"/>
    <w:rsid w:val="00DD7F85"/>
    <w:rsid w:val="00DE40CB"/>
    <w:rsid w:val="00DE43D3"/>
    <w:rsid w:val="00E06040"/>
    <w:rsid w:val="00E0645C"/>
    <w:rsid w:val="00E141F2"/>
    <w:rsid w:val="00E2159D"/>
    <w:rsid w:val="00E22AF4"/>
    <w:rsid w:val="00E261F2"/>
    <w:rsid w:val="00E33D6C"/>
    <w:rsid w:val="00E3783F"/>
    <w:rsid w:val="00E430F5"/>
    <w:rsid w:val="00E44D8D"/>
    <w:rsid w:val="00E54C4D"/>
    <w:rsid w:val="00E55262"/>
    <w:rsid w:val="00E56070"/>
    <w:rsid w:val="00E74A3D"/>
    <w:rsid w:val="00E7590C"/>
    <w:rsid w:val="00E77FEB"/>
    <w:rsid w:val="00E839FF"/>
    <w:rsid w:val="00E874F0"/>
    <w:rsid w:val="00E90539"/>
    <w:rsid w:val="00E91099"/>
    <w:rsid w:val="00E9598A"/>
    <w:rsid w:val="00E972E5"/>
    <w:rsid w:val="00EA1093"/>
    <w:rsid w:val="00EA1E56"/>
    <w:rsid w:val="00EA69FC"/>
    <w:rsid w:val="00EA6FBB"/>
    <w:rsid w:val="00EA7FA2"/>
    <w:rsid w:val="00EB10FE"/>
    <w:rsid w:val="00EB2098"/>
    <w:rsid w:val="00EB6673"/>
    <w:rsid w:val="00EC6EDC"/>
    <w:rsid w:val="00ED25D3"/>
    <w:rsid w:val="00EE3769"/>
    <w:rsid w:val="00EE3B60"/>
    <w:rsid w:val="00EE3EC3"/>
    <w:rsid w:val="00EE5BC1"/>
    <w:rsid w:val="00EF02A6"/>
    <w:rsid w:val="00EF04CD"/>
    <w:rsid w:val="00EF48B5"/>
    <w:rsid w:val="00EF6831"/>
    <w:rsid w:val="00F019F6"/>
    <w:rsid w:val="00F01E93"/>
    <w:rsid w:val="00F0225E"/>
    <w:rsid w:val="00F0251B"/>
    <w:rsid w:val="00F03516"/>
    <w:rsid w:val="00F04C9B"/>
    <w:rsid w:val="00F05C45"/>
    <w:rsid w:val="00F079CB"/>
    <w:rsid w:val="00F07F73"/>
    <w:rsid w:val="00F119D9"/>
    <w:rsid w:val="00F14DC5"/>
    <w:rsid w:val="00F153CD"/>
    <w:rsid w:val="00F16E75"/>
    <w:rsid w:val="00F21A38"/>
    <w:rsid w:val="00F247CD"/>
    <w:rsid w:val="00F25EBB"/>
    <w:rsid w:val="00F33F5E"/>
    <w:rsid w:val="00F34F83"/>
    <w:rsid w:val="00F35046"/>
    <w:rsid w:val="00F35107"/>
    <w:rsid w:val="00F4252B"/>
    <w:rsid w:val="00F4417C"/>
    <w:rsid w:val="00F462D0"/>
    <w:rsid w:val="00F52806"/>
    <w:rsid w:val="00F54E6B"/>
    <w:rsid w:val="00F6716D"/>
    <w:rsid w:val="00F70E1D"/>
    <w:rsid w:val="00F72F15"/>
    <w:rsid w:val="00F74ED6"/>
    <w:rsid w:val="00F75D17"/>
    <w:rsid w:val="00F76A9E"/>
    <w:rsid w:val="00F82EB5"/>
    <w:rsid w:val="00F86369"/>
    <w:rsid w:val="00FA22AD"/>
    <w:rsid w:val="00FA3D71"/>
    <w:rsid w:val="00FA3DE0"/>
    <w:rsid w:val="00FB77B9"/>
    <w:rsid w:val="00FC31F8"/>
    <w:rsid w:val="00FC4E63"/>
    <w:rsid w:val="00FD15AF"/>
    <w:rsid w:val="00FD164C"/>
    <w:rsid w:val="00FE1E8A"/>
    <w:rsid w:val="00FE42A1"/>
    <w:rsid w:val="00FE5DEA"/>
    <w:rsid w:val="00FF4B72"/>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66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66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35A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9D0"/>
    <w:rPr>
      <w:color w:val="0000FF" w:themeColor="hyperlink"/>
      <w:u w:val="single"/>
    </w:rPr>
  </w:style>
  <w:style w:type="paragraph" w:styleId="ListParagraph">
    <w:name w:val="List Paragraph"/>
    <w:basedOn w:val="Normal"/>
    <w:uiPriority w:val="34"/>
    <w:qFormat/>
    <w:rsid w:val="006729D0"/>
    <w:pPr>
      <w:ind w:left="720"/>
      <w:contextualSpacing/>
    </w:pPr>
  </w:style>
  <w:style w:type="character" w:customStyle="1" w:styleId="Heading4Char">
    <w:name w:val="Heading 4 Char"/>
    <w:basedOn w:val="DefaultParagraphFont"/>
    <w:link w:val="Heading4"/>
    <w:uiPriority w:val="9"/>
    <w:rsid w:val="00635A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35A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A6B"/>
    <w:rPr>
      <w:b/>
      <w:bCs/>
    </w:rPr>
  </w:style>
  <w:style w:type="paragraph" w:customStyle="1" w:styleId="Default">
    <w:name w:val="Default"/>
    <w:rsid w:val="00310CDB"/>
    <w:pPr>
      <w:autoSpaceDE w:val="0"/>
      <w:autoSpaceDN w:val="0"/>
      <w:adjustRightInd w:val="0"/>
      <w:spacing w:after="0" w:line="240" w:lineRule="auto"/>
    </w:pPr>
    <w:rPr>
      <w:rFonts w:ascii="ITC Avant Garde Std Md" w:hAnsi="ITC Avant Garde Std Md" w:cs="ITC Avant Garde Std Md"/>
      <w:color w:val="000000"/>
      <w:sz w:val="24"/>
      <w:szCs w:val="24"/>
    </w:rPr>
  </w:style>
  <w:style w:type="character" w:customStyle="1" w:styleId="Heading2Char">
    <w:name w:val="Heading 2 Char"/>
    <w:basedOn w:val="DefaultParagraphFont"/>
    <w:link w:val="Heading2"/>
    <w:uiPriority w:val="9"/>
    <w:semiHidden/>
    <w:rsid w:val="00CF66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663F"/>
    <w:rPr>
      <w:rFonts w:asciiTheme="majorHAnsi" w:eastAsiaTheme="majorEastAsia" w:hAnsiTheme="majorHAnsi" w:cstheme="majorBidi"/>
      <w:b/>
      <w:bCs/>
      <w:color w:val="4F81BD" w:themeColor="accent1"/>
    </w:rPr>
  </w:style>
  <w:style w:type="table" w:styleId="TableGrid">
    <w:name w:val="Table Grid"/>
    <w:basedOn w:val="TableNormal"/>
    <w:uiPriority w:val="59"/>
    <w:rsid w:val="00DD7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4C"/>
    <w:rPr>
      <w:rFonts w:ascii="Tahoma" w:hAnsi="Tahoma" w:cs="Tahoma"/>
      <w:sz w:val="16"/>
      <w:szCs w:val="16"/>
    </w:rPr>
  </w:style>
  <w:style w:type="character" w:styleId="FollowedHyperlink">
    <w:name w:val="FollowedHyperlink"/>
    <w:basedOn w:val="DefaultParagraphFont"/>
    <w:uiPriority w:val="99"/>
    <w:semiHidden/>
    <w:unhideWhenUsed/>
    <w:rsid w:val="004C263D"/>
    <w:rPr>
      <w:color w:val="800080" w:themeColor="followedHyperlink"/>
      <w:u w:val="single"/>
    </w:rPr>
  </w:style>
  <w:style w:type="paragraph" w:styleId="FootnoteText">
    <w:name w:val="footnote text"/>
    <w:basedOn w:val="Normal"/>
    <w:link w:val="FootnoteTextChar"/>
    <w:uiPriority w:val="99"/>
    <w:semiHidden/>
    <w:unhideWhenUsed/>
    <w:rsid w:val="00F82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EB5"/>
    <w:rPr>
      <w:sz w:val="20"/>
      <w:szCs w:val="20"/>
    </w:rPr>
  </w:style>
  <w:style w:type="character" w:styleId="FootnoteReference">
    <w:name w:val="footnote reference"/>
    <w:basedOn w:val="DefaultParagraphFont"/>
    <w:uiPriority w:val="99"/>
    <w:semiHidden/>
    <w:unhideWhenUsed/>
    <w:rsid w:val="00F82EB5"/>
    <w:rPr>
      <w:vertAlign w:val="superscript"/>
    </w:rPr>
  </w:style>
  <w:style w:type="paragraph" w:styleId="Header">
    <w:name w:val="header"/>
    <w:basedOn w:val="Normal"/>
    <w:link w:val="HeaderChar"/>
    <w:uiPriority w:val="99"/>
    <w:unhideWhenUsed/>
    <w:rsid w:val="0088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8A"/>
  </w:style>
  <w:style w:type="paragraph" w:styleId="Footer">
    <w:name w:val="footer"/>
    <w:basedOn w:val="Normal"/>
    <w:link w:val="FooterChar"/>
    <w:uiPriority w:val="99"/>
    <w:unhideWhenUsed/>
    <w:rsid w:val="0088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8A"/>
  </w:style>
  <w:style w:type="character" w:styleId="CommentReference">
    <w:name w:val="annotation reference"/>
    <w:basedOn w:val="DefaultParagraphFont"/>
    <w:uiPriority w:val="99"/>
    <w:semiHidden/>
    <w:unhideWhenUsed/>
    <w:rsid w:val="00D570F6"/>
    <w:rPr>
      <w:sz w:val="16"/>
      <w:szCs w:val="16"/>
    </w:rPr>
  </w:style>
  <w:style w:type="paragraph" w:styleId="CommentText">
    <w:name w:val="annotation text"/>
    <w:basedOn w:val="Normal"/>
    <w:link w:val="CommentTextChar"/>
    <w:uiPriority w:val="99"/>
    <w:semiHidden/>
    <w:unhideWhenUsed/>
    <w:rsid w:val="00D570F6"/>
    <w:pPr>
      <w:spacing w:line="240" w:lineRule="auto"/>
    </w:pPr>
    <w:rPr>
      <w:sz w:val="20"/>
      <w:szCs w:val="20"/>
    </w:rPr>
  </w:style>
  <w:style w:type="character" w:customStyle="1" w:styleId="CommentTextChar">
    <w:name w:val="Comment Text Char"/>
    <w:basedOn w:val="DefaultParagraphFont"/>
    <w:link w:val="CommentText"/>
    <w:uiPriority w:val="99"/>
    <w:semiHidden/>
    <w:rsid w:val="00D570F6"/>
    <w:rPr>
      <w:sz w:val="20"/>
      <w:szCs w:val="20"/>
    </w:rPr>
  </w:style>
  <w:style w:type="paragraph" w:styleId="CommentSubject">
    <w:name w:val="annotation subject"/>
    <w:basedOn w:val="CommentText"/>
    <w:next w:val="CommentText"/>
    <w:link w:val="CommentSubjectChar"/>
    <w:uiPriority w:val="99"/>
    <w:semiHidden/>
    <w:unhideWhenUsed/>
    <w:rsid w:val="00D570F6"/>
    <w:rPr>
      <w:b/>
      <w:bCs/>
    </w:rPr>
  </w:style>
  <w:style w:type="character" w:customStyle="1" w:styleId="CommentSubjectChar">
    <w:name w:val="Comment Subject Char"/>
    <w:basedOn w:val="CommentTextChar"/>
    <w:link w:val="CommentSubject"/>
    <w:uiPriority w:val="99"/>
    <w:semiHidden/>
    <w:rsid w:val="00D570F6"/>
    <w:rPr>
      <w:b/>
      <w:bCs/>
      <w:sz w:val="20"/>
      <w:szCs w:val="20"/>
    </w:rPr>
  </w:style>
  <w:style w:type="paragraph" w:styleId="Revision">
    <w:name w:val="Revision"/>
    <w:hidden/>
    <w:uiPriority w:val="99"/>
    <w:semiHidden/>
    <w:rsid w:val="008D6372"/>
    <w:pPr>
      <w:spacing w:after="0" w:line="240" w:lineRule="auto"/>
    </w:pPr>
  </w:style>
  <w:style w:type="character" w:customStyle="1" w:styleId="Heading1Char">
    <w:name w:val="Heading 1 Char"/>
    <w:basedOn w:val="DefaultParagraphFont"/>
    <w:link w:val="Heading1"/>
    <w:uiPriority w:val="9"/>
    <w:rsid w:val="007208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08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66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66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35A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9D0"/>
    <w:rPr>
      <w:color w:val="0000FF" w:themeColor="hyperlink"/>
      <w:u w:val="single"/>
    </w:rPr>
  </w:style>
  <w:style w:type="paragraph" w:styleId="ListParagraph">
    <w:name w:val="List Paragraph"/>
    <w:basedOn w:val="Normal"/>
    <w:uiPriority w:val="34"/>
    <w:qFormat/>
    <w:rsid w:val="006729D0"/>
    <w:pPr>
      <w:ind w:left="720"/>
      <w:contextualSpacing/>
    </w:pPr>
  </w:style>
  <w:style w:type="character" w:customStyle="1" w:styleId="Heading4Char">
    <w:name w:val="Heading 4 Char"/>
    <w:basedOn w:val="DefaultParagraphFont"/>
    <w:link w:val="Heading4"/>
    <w:uiPriority w:val="9"/>
    <w:rsid w:val="00635A6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35A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A6B"/>
    <w:rPr>
      <w:b/>
      <w:bCs/>
    </w:rPr>
  </w:style>
  <w:style w:type="paragraph" w:customStyle="1" w:styleId="Default">
    <w:name w:val="Default"/>
    <w:rsid w:val="00310CDB"/>
    <w:pPr>
      <w:autoSpaceDE w:val="0"/>
      <w:autoSpaceDN w:val="0"/>
      <w:adjustRightInd w:val="0"/>
      <w:spacing w:after="0" w:line="240" w:lineRule="auto"/>
    </w:pPr>
    <w:rPr>
      <w:rFonts w:ascii="ITC Avant Garde Std Md" w:hAnsi="ITC Avant Garde Std Md" w:cs="ITC Avant Garde Std Md"/>
      <w:color w:val="000000"/>
      <w:sz w:val="24"/>
      <w:szCs w:val="24"/>
    </w:rPr>
  </w:style>
  <w:style w:type="character" w:customStyle="1" w:styleId="Heading2Char">
    <w:name w:val="Heading 2 Char"/>
    <w:basedOn w:val="DefaultParagraphFont"/>
    <w:link w:val="Heading2"/>
    <w:uiPriority w:val="9"/>
    <w:semiHidden/>
    <w:rsid w:val="00CF66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663F"/>
    <w:rPr>
      <w:rFonts w:asciiTheme="majorHAnsi" w:eastAsiaTheme="majorEastAsia" w:hAnsiTheme="majorHAnsi" w:cstheme="majorBidi"/>
      <w:b/>
      <w:bCs/>
      <w:color w:val="4F81BD" w:themeColor="accent1"/>
    </w:rPr>
  </w:style>
  <w:style w:type="table" w:styleId="TableGrid">
    <w:name w:val="Table Grid"/>
    <w:basedOn w:val="TableNormal"/>
    <w:uiPriority w:val="59"/>
    <w:rsid w:val="00DD7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4C"/>
    <w:rPr>
      <w:rFonts w:ascii="Tahoma" w:hAnsi="Tahoma" w:cs="Tahoma"/>
      <w:sz w:val="16"/>
      <w:szCs w:val="16"/>
    </w:rPr>
  </w:style>
  <w:style w:type="character" w:styleId="FollowedHyperlink">
    <w:name w:val="FollowedHyperlink"/>
    <w:basedOn w:val="DefaultParagraphFont"/>
    <w:uiPriority w:val="99"/>
    <w:semiHidden/>
    <w:unhideWhenUsed/>
    <w:rsid w:val="004C263D"/>
    <w:rPr>
      <w:color w:val="800080" w:themeColor="followedHyperlink"/>
      <w:u w:val="single"/>
    </w:rPr>
  </w:style>
  <w:style w:type="paragraph" w:styleId="FootnoteText">
    <w:name w:val="footnote text"/>
    <w:basedOn w:val="Normal"/>
    <w:link w:val="FootnoteTextChar"/>
    <w:uiPriority w:val="99"/>
    <w:semiHidden/>
    <w:unhideWhenUsed/>
    <w:rsid w:val="00F82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EB5"/>
    <w:rPr>
      <w:sz w:val="20"/>
      <w:szCs w:val="20"/>
    </w:rPr>
  </w:style>
  <w:style w:type="character" w:styleId="FootnoteReference">
    <w:name w:val="footnote reference"/>
    <w:basedOn w:val="DefaultParagraphFont"/>
    <w:uiPriority w:val="99"/>
    <w:semiHidden/>
    <w:unhideWhenUsed/>
    <w:rsid w:val="00F82EB5"/>
    <w:rPr>
      <w:vertAlign w:val="superscript"/>
    </w:rPr>
  </w:style>
  <w:style w:type="paragraph" w:styleId="Header">
    <w:name w:val="header"/>
    <w:basedOn w:val="Normal"/>
    <w:link w:val="HeaderChar"/>
    <w:uiPriority w:val="99"/>
    <w:unhideWhenUsed/>
    <w:rsid w:val="0088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8A"/>
  </w:style>
  <w:style w:type="paragraph" w:styleId="Footer">
    <w:name w:val="footer"/>
    <w:basedOn w:val="Normal"/>
    <w:link w:val="FooterChar"/>
    <w:uiPriority w:val="99"/>
    <w:unhideWhenUsed/>
    <w:rsid w:val="0088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8A"/>
  </w:style>
  <w:style w:type="character" w:styleId="CommentReference">
    <w:name w:val="annotation reference"/>
    <w:basedOn w:val="DefaultParagraphFont"/>
    <w:uiPriority w:val="99"/>
    <w:semiHidden/>
    <w:unhideWhenUsed/>
    <w:rsid w:val="00D570F6"/>
    <w:rPr>
      <w:sz w:val="16"/>
      <w:szCs w:val="16"/>
    </w:rPr>
  </w:style>
  <w:style w:type="paragraph" w:styleId="CommentText">
    <w:name w:val="annotation text"/>
    <w:basedOn w:val="Normal"/>
    <w:link w:val="CommentTextChar"/>
    <w:uiPriority w:val="99"/>
    <w:semiHidden/>
    <w:unhideWhenUsed/>
    <w:rsid w:val="00D570F6"/>
    <w:pPr>
      <w:spacing w:line="240" w:lineRule="auto"/>
    </w:pPr>
    <w:rPr>
      <w:sz w:val="20"/>
      <w:szCs w:val="20"/>
    </w:rPr>
  </w:style>
  <w:style w:type="character" w:customStyle="1" w:styleId="CommentTextChar">
    <w:name w:val="Comment Text Char"/>
    <w:basedOn w:val="DefaultParagraphFont"/>
    <w:link w:val="CommentText"/>
    <w:uiPriority w:val="99"/>
    <w:semiHidden/>
    <w:rsid w:val="00D570F6"/>
    <w:rPr>
      <w:sz w:val="20"/>
      <w:szCs w:val="20"/>
    </w:rPr>
  </w:style>
  <w:style w:type="paragraph" w:styleId="CommentSubject">
    <w:name w:val="annotation subject"/>
    <w:basedOn w:val="CommentText"/>
    <w:next w:val="CommentText"/>
    <w:link w:val="CommentSubjectChar"/>
    <w:uiPriority w:val="99"/>
    <w:semiHidden/>
    <w:unhideWhenUsed/>
    <w:rsid w:val="00D570F6"/>
    <w:rPr>
      <w:b/>
      <w:bCs/>
    </w:rPr>
  </w:style>
  <w:style w:type="character" w:customStyle="1" w:styleId="CommentSubjectChar">
    <w:name w:val="Comment Subject Char"/>
    <w:basedOn w:val="CommentTextChar"/>
    <w:link w:val="CommentSubject"/>
    <w:uiPriority w:val="99"/>
    <w:semiHidden/>
    <w:rsid w:val="00D570F6"/>
    <w:rPr>
      <w:b/>
      <w:bCs/>
      <w:sz w:val="20"/>
      <w:szCs w:val="20"/>
    </w:rPr>
  </w:style>
  <w:style w:type="paragraph" w:styleId="Revision">
    <w:name w:val="Revision"/>
    <w:hidden/>
    <w:uiPriority w:val="99"/>
    <w:semiHidden/>
    <w:rsid w:val="008D6372"/>
    <w:pPr>
      <w:spacing w:after="0" w:line="240" w:lineRule="auto"/>
    </w:pPr>
  </w:style>
  <w:style w:type="character" w:customStyle="1" w:styleId="Heading1Char">
    <w:name w:val="Heading 1 Char"/>
    <w:basedOn w:val="DefaultParagraphFont"/>
    <w:link w:val="Heading1"/>
    <w:uiPriority w:val="9"/>
    <w:rsid w:val="007208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82101">
      <w:bodyDiv w:val="1"/>
      <w:marLeft w:val="0"/>
      <w:marRight w:val="0"/>
      <w:marTop w:val="0"/>
      <w:marBottom w:val="0"/>
      <w:divBdr>
        <w:top w:val="none" w:sz="0" w:space="0" w:color="auto"/>
        <w:left w:val="none" w:sz="0" w:space="0" w:color="auto"/>
        <w:bottom w:val="none" w:sz="0" w:space="0" w:color="auto"/>
        <w:right w:val="none" w:sz="0" w:space="0" w:color="auto"/>
      </w:divBdr>
      <w:divsChild>
        <w:div w:id="2136175231">
          <w:marLeft w:val="0"/>
          <w:marRight w:val="0"/>
          <w:marTop w:val="0"/>
          <w:marBottom w:val="0"/>
          <w:divBdr>
            <w:top w:val="none" w:sz="0" w:space="0" w:color="auto"/>
            <w:left w:val="none" w:sz="0" w:space="0" w:color="auto"/>
            <w:bottom w:val="none" w:sz="0" w:space="0" w:color="auto"/>
            <w:right w:val="none" w:sz="0" w:space="0" w:color="auto"/>
          </w:divBdr>
          <w:divsChild>
            <w:div w:id="1291596023">
              <w:marLeft w:val="0"/>
              <w:marRight w:val="0"/>
              <w:marTop w:val="0"/>
              <w:marBottom w:val="0"/>
              <w:divBdr>
                <w:top w:val="none" w:sz="0" w:space="0" w:color="auto"/>
                <w:left w:val="none" w:sz="0" w:space="0" w:color="auto"/>
                <w:bottom w:val="none" w:sz="0" w:space="0" w:color="auto"/>
                <w:right w:val="none" w:sz="0" w:space="0" w:color="auto"/>
              </w:divBdr>
              <w:divsChild>
                <w:div w:id="2090492059">
                  <w:marLeft w:val="0"/>
                  <w:marRight w:val="0"/>
                  <w:marTop w:val="0"/>
                  <w:marBottom w:val="0"/>
                  <w:divBdr>
                    <w:top w:val="none" w:sz="0" w:space="0" w:color="auto"/>
                    <w:left w:val="none" w:sz="0" w:space="0" w:color="auto"/>
                    <w:bottom w:val="none" w:sz="0" w:space="0" w:color="auto"/>
                    <w:right w:val="none" w:sz="0" w:space="0" w:color="auto"/>
                  </w:divBdr>
                  <w:divsChild>
                    <w:div w:id="14887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78027">
      <w:bodyDiv w:val="1"/>
      <w:marLeft w:val="0"/>
      <w:marRight w:val="0"/>
      <w:marTop w:val="0"/>
      <w:marBottom w:val="0"/>
      <w:divBdr>
        <w:top w:val="none" w:sz="0" w:space="0" w:color="auto"/>
        <w:left w:val="none" w:sz="0" w:space="0" w:color="auto"/>
        <w:bottom w:val="none" w:sz="0" w:space="0" w:color="auto"/>
        <w:right w:val="none" w:sz="0" w:space="0" w:color="auto"/>
      </w:divBdr>
      <w:divsChild>
        <w:div w:id="1640767374">
          <w:marLeft w:val="0"/>
          <w:marRight w:val="0"/>
          <w:marTop w:val="0"/>
          <w:marBottom w:val="0"/>
          <w:divBdr>
            <w:top w:val="none" w:sz="0" w:space="0" w:color="auto"/>
            <w:left w:val="none" w:sz="0" w:space="0" w:color="auto"/>
            <w:bottom w:val="none" w:sz="0" w:space="0" w:color="auto"/>
            <w:right w:val="none" w:sz="0" w:space="0" w:color="auto"/>
          </w:divBdr>
          <w:divsChild>
            <w:div w:id="740064300">
              <w:marLeft w:val="0"/>
              <w:marRight w:val="0"/>
              <w:marTop w:val="0"/>
              <w:marBottom w:val="0"/>
              <w:divBdr>
                <w:top w:val="none" w:sz="0" w:space="0" w:color="auto"/>
                <w:left w:val="none" w:sz="0" w:space="0" w:color="auto"/>
                <w:bottom w:val="none" w:sz="0" w:space="0" w:color="auto"/>
                <w:right w:val="none" w:sz="0" w:space="0" w:color="auto"/>
              </w:divBdr>
              <w:divsChild>
                <w:div w:id="1788115514">
                  <w:marLeft w:val="0"/>
                  <w:marRight w:val="0"/>
                  <w:marTop w:val="0"/>
                  <w:marBottom w:val="0"/>
                  <w:divBdr>
                    <w:top w:val="none" w:sz="0" w:space="0" w:color="auto"/>
                    <w:left w:val="none" w:sz="0" w:space="0" w:color="auto"/>
                    <w:bottom w:val="none" w:sz="0" w:space="0" w:color="auto"/>
                    <w:right w:val="none" w:sz="0" w:space="0" w:color="auto"/>
                  </w:divBdr>
                  <w:divsChild>
                    <w:div w:id="388918482">
                      <w:marLeft w:val="375"/>
                      <w:marRight w:val="375"/>
                      <w:marTop w:val="450"/>
                      <w:marBottom w:val="450"/>
                      <w:divBdr>
                        <w:top w:val="none" w:sz="0" w:space="0" w:color="auto"/>
                        <w:left w:val="none" w:sz="0" w:space="0" w:color="auto"/>
                        <w:bottom w:val="none" w:sz="0" w:space="0" w:color="auto"/>
                        <w:right w:val="none" w:sz="0" w:space="0" w:color="auto"/>
                      </w:divBdr>
                      <w:divsChild>
                        <w:div w:id="591473718">
                          <w:marLeft w:val="0"/>
                          <w:marRight w:val="0"/>
                          <w:marTop w:val="0"/>
                          <w:marBottom w:val="0"/>
                          <w:divBdr>
                            <w:top w:val="none" w:sz="0" w:space="0" w:color="auto"/>
                            <w:left w:val="none" w:sz="0" w:space="0" w:color="auto"/>
                            <w:bottom w:val="none" w:sz="0" w:space="0" w:color="auto"/>
                            <w:right w:val="none" w:sz="0" w:space="0" w:color="auto"/>
                          </w:divBdr>
                          <w:divsChild>
                            <w:div w:id="1170680162">
                              <w:marLeft w:val="0"/>
                              <w:marRight w:val="0"/>
                              <w:marTop w:val="0"/>
                              <w:marBottom w:val="0"/>
                              <w:divBdr>
                                <w:top w:val="none" w:sz="0" w:space="0" w:color="auto"/>
                                <w:left w:val="none" w:sz="0" w:space="0" w:color="auto"/>
                                <w:bottom w:val="none" w:sz="0" w:space="0" w:color="auto"/>
                                <w:right w:val="none" w:sz="0" w:space="0" w:color="auto"/>
                              </w:divBdr>
                              <w:divsChild>
                                <w:div w:id="3104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805912">
      <w:bodyDiv w:val="1"/>
      <w:marLeft w:val="0"/>
      <w:marRight w:val="0"/>
      <w:marTop w:val="0"/>
      <w:marBottom w:val="0"/>
      <w:divBdr>
        <w:top w:val="none" w:sz="0" w:space="0" w:color="auto"/>
        <w:left w:val="none" w:sz="0" w:space="0" w:color="auto"/>
        <w:bottom w:val="none" w:sz="0" w:space="0" w:color="auto"/>
        <w:right w:val="none" w:sz="0" w:space="0" w:color="auto"/>
      </w:divBdr>
    </w:div>
    <w:div w:id="1842701706">
      <w:bodyDiv w:val="1"/>
      <w:marLeft w:val="0"/>
      <w:marRight w:val="0"/>
      <w:marTop w:val="0"/>
      <w:marBottom w:val="0"/>
      <w:divBdr>
        <w:top w:val="none" w:sz="0" w:space="0" w:color="auto"/>
        <w:left w:val="none" w:sz="0" w:space="0" w:color="auto"/>
        <w:bottom w:val="none" w:sz="0" w:space="0" w:color="auto"/>
        <w:right w:val="none" w:sz="0" w:space="0" w:color="auto"/>
      </w:divBdr>
    </w:div>
    <w:div w:id="1905680029">
      <w:bodyDiv w:val="1"/>
      <w:marLeft w:val="0"/>
      <w:marRight w:val="0"/>
      <w:marTop w:val="0"/>
      <w:marBottom w:val="0"/>
      <w:divBdr>
        <w:top w:val="none" w:sz="0" w:space="0" w:color="auto"/>
        <w:left w:val="none" w:sz="0" w:space="0" w:color="auto"/>
        <w:bottom w:val="none" w:sz="0" w:space="0" w:color="auto"/>
        <w:right w:val="none" w:sz="0" w:space="0" w:color="auto"/>
      </w:divBdr>
    </w:div>
    <w:div w:id="2133283714">
      <w:bodyDiv w:val="1"/>
      <w:marLeft w:val="0"/>
      <w:marRight w:val="0"/>
      <w:marTop w:val="0"/>
      <w:marBottom w:val="0"/>
      <w:divBdr>
        <w:top w:val="none" w:sz="0" w:space="0" w:color="auto"/>
        <w:left w:val="none" w:sz="0" w:space="0" w:color="auto"/>
        <w:bottom w:val="none" w:sz="0" w:space="0" w:color="auto"/>
        <w:right w:val="none" w:sz="0" w:space="0" w:color="auto"/>
      </w:divBdr>
    </w:div>
    <w:div w:id="2135177117">
      <w:bodyDiv w:val="1"/>
      <w:marLeft w:val="0"/>
      <w:marRight w:val="0"/>
      <w:marTop w:val="0"/>
      <w:marBottom w:val="0"/>
      <w:divBdr>
        <w:top w:val="none" w:sz="0" w:space="0" w:color="auto"/>
        <w:left w:val="none" w:sz="0" w:space="0" w:color="auto"/>
        <w:bottom w:val="none" w:sz="0" w:space="0" w:color="auto"/>
        <w:right w:val="none" w:sz="0" w:space="0" w:color="auto"/>
      </w:divBdr>
      <w:divsChild>
        <w:div w:id="466820992">
          <w:marLeft w:val="0"/>
          <w:marRight w:val="0"/>
          <w:marTop w:val="0"/>
          <w:marBottom w:val="0"/>
          <w:divBdr>
            <w:top w:val="none" w:sz="0" w:space="0" w:color="auto"/>
            <w:left w:val="none" w:sz="0" w:space="0" w:color="auto"/>
            <w:bottom w:val="none" w:sz="0" w:space="0" w:color="auto"/>
            <w:right w:val="none" w:sz="0" w:space="0" w:color="auto"/>
          </w:divBdr>
          <w:divsChild>
            <w:div w:id="7143972">
              <w:marLeft w:val="0"/>
              <w:marRight w:val="0"/>
              <w:marTop w:val="0"/>
              <w:marBottom w:val="0"/>
              <w:divBdr>
                <w:top w:val="none" w:sz="0" w:space="0" w:color="auto"/>
                <w:left w:val="none" w:sz="0" w:space="0" w:color="auto"/>
                <w:bottom w:val="none" w:sz="0" w:space="0" w:color="auto"/>
                <w:right w:val="none" w:sz="0" w:space="0" w:color="auto"/>
              </w:divBdr>
              <w:divsChild>
                <w:div w:id="2049792266">
                  <w:marLeft w:val="0"/>
                  <w:marRight w:val="0"/>
                  <w:marTop w:val="0"/>
                  <w:marBottom w:val="0"/>
                  <w:divBdr>
                    <w:top w:val="none" w:sz="0" w:space="0" w:color="auto"/>
                    <w:left w:val="none" w:sz="0" w:space="0" w:color="auto"/>
                    <w:bottom w:val="none" w:sz="0" w:space="0" w:color="auto"/>
                    <w:right w:val="none" w:sz="0" w:space="0" w:color="auto"/>
                  </w:divBdr>
                  <w:divsChild>
                    <w:div w:id="21112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nadrc.acl.go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oafs01.itsc.hhs-itsc.local\common\CPE%20Center%20for%20Policy%20and%20Evaluation\Tilly%20J\NH%20use%20issue%20brief\stats\state%20instit%20rate%20stats%20mcaid%20&amp;%20ACS\State%20Instit%20rates%20ACS%20%20Truven%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vert="horz"/>
          <a:lstStyle/>
          <a:p>
            <a:pPr>
              <a:defRPr/>
            </a:pPr>
            <a:r>
              <a:rPr lang="en-US" sz="1200"/>
              <a:t>Figure 2: Percentage of Adults Receiving</a:t>
            </a:r>
            <a:r>
              <a:rPr lang="en-US" sz="1200" baseline="0"/>
              <a:t> </a:t>
            </a:r>
            <a:r>
              <a:rPr lang="en-US" sz="1200"/>
              <a:t>Any Type of Medicaid LTSS who</a:t>
            </a:r>
            <a:r>
              <a:rPr lang="en-US" sz="1200" baseline="0"/>
              <a:t> </a:t>
            </a:r>
            <a:r>
              <a:rPr lang="en-US" sz="1200"/>
              <a:t>Lived only</a:t>
            </a:r>
            <a:r>
              <a:rPr lang="en-US" sz="1200" baseline="0"/>
              <a:t> </a:t>
            </a:r>
            <a:r>
              <a:rPr lang="en-US" sz="1200"/>
              <a:t>inInstitutions, by Age</a:t>
            </a:r>
            <a:r>
              <a:rPr lang="en-US" sz="1200" baseline="0"/>
              <a:t> and State,</a:t>
            </a:r>
            <a:r>
              <a:rPr lang="en-US" sz="1200"/>
              <a:t> 2011</a:t>
            </a:r>
          </a:p>
        </c:rich>
      </c:tx>
      <c:layout/>
      <c:overlay val="0"/>
    </c:title>
    <c:autoTitleDeleted val="0"/>
    <c:plotArea>
      <c:layout/>
      <c:barChart>
        <c:barDir val="bar"/>
        <c:grouping val="clustered"/>
        <c:varyColors val="0"/>
        <c:ser>
          <c:idx val="0"/>
          <c:order val="0"/>
          <c:tx>
            <c:strRef>
              <c:f>Sheet5!$B$2</c:f>
              <c:strCache>
                <c:ptCount val="1"/>
                <c:pt idx="0">
                  <c:v>21-64</c:v>
                </c:pt>
              </c:strCache>
            </c:strRef>
          </c:tx>
          <c:invertIfNegative val="0"/>
          <c:cat>
            <c:strRef>
              <c:f>Sheet5!$A$3:$A$42</c:f>
              <c:strCache>
                <c:ptCount val="40"/>
                <c:pt idx="0">
                  <c:v>TN</c:v>
                </c:pt>
                <c:pt idx="1">
                  <c:v>NM</c:v>
                </c:pt>
                <c:pt idx="2">
                  <c:v>IN</c:v>
                </c:pt>
                <c:pt idx="3">
                  <c:v>KY</c:v>
                </c:pt>
                <c:pt idx="4">
                  <c:v>SD</c:v>
                </c:pt>
                <c:pt idx="5">
                  <c:v>DE</c:v>
                </c:pt>
                <c:pt idx="6">
                  <c:v>NH</c:v>
                </c:pt>
                <c:pt idx="7">
                  <c:v>PA</c:v>
                </c:pt>
                <c:pt idx="8">
                  <c:v>ND</c:v>
                </c:pt>
                <c:pt idx="9">
                  <c:v>LA</c:v>
                </c:pt>
                <c:pt idx="10">
                  <c:v>UT</c:v>
                </c:pt>
                <c:pt idx="11">
                  <c:v>MD</c:v>
                </c:pt>
                <c:pt idx="12">
                  <c:v>MT</c:v>
                </c:pt>
                <c:pt idx="13">
                  <c:v>NE</c:v>
                </c:pt>
                <c:pt idx="14">
                  <c:v>GA</c:v>
                </c:pt>
                <c:pt idx="15">
                  <c:v>WY</c:v>
                </c:pt>
                <c:pt idx="16">
                  <c:v>CT</c:v>
                </c:pt>
                <c:pt idx="17">
                  <c:v>RI</c:v>
                </c:pt>
                <c:pt idx="18">
                  <c:v>MS</c:v>
                </c:pt>
                <c:pt idx="19">
                  <c:v>AL</c:v>
                </c:pt>
                <c:pt idx="20">
                  <c:v>WV</c:v>
                </c:pt>
                <c:pt idx="21">
                  <c:v>SC</c:v>
                </c:pt>
                <c:pt idx="22">
                  <c:v>FL</c:v>
                </c:pt>
                <c:pt idx="23">
                  <c:v>AR</c:v>
                </c:pt>
                <c:pt idx="24">
                  <c:v>MI</c:v>
                </c:pt>
                <c:pt idx="25">
                  <c:v>VA</c:v>
                </c:pt>
                <c:pt idx="26">
                  <c:v>IA</c:v>
                </c:pt>
                <c:pt idx="27">
                  <c:v>OK</c:v>
                </c:pt>
                <c:pt idx="28">
                  <c:v>MO</c:v>
                </c:pt>
                <c:pt idx="29">
                  <c:v>NY</c:v>
                </c:pt>
                <c:pt idx="30">
                  <c:v>NJ</c:v>
                </c:pt>
                <c:pt idx="31">
                  <c:v>VT</c:v>
                </c:pt>
                <c:pt idx="32">
                  <c:v>NC</c:v>
                </c:pt>
                <c:pt idx="33">
                  <c:v>MN</c:v>
                </c:pt>
                <c:pt idx="34">
                  <c:v>NV</c:v>
                </c:pt>
                <c:pt idx="35">
                  <c:v>IL</c:v>
                </c:pt>
                <c:pt idx="36">
                  <c:v>WA</c:v>
                </c:pt>
                <c:pt idx="37">
                  <c:v>CA</c:v>
                </c:pt>
                <c:pt idx="38">
                  <c:v>OR</c:v>
                </c:pt>
                <c:pt idx="39">
                  <c:v>AK</c:v>
                </c:pt>
              </c:strCache>
            </c:strRef>
          </c:cat>
          <c:val>
            <c:numRef>
              <c:f>Sheet5!$B$3:$B$42</c:f>
              <c:numCache>
                <c:formatCode>General</c:formatCode>
                <c:ptCount val="40"/>
                <c:pt idx="0">
                  <c:v>41.5</c:v>
                </c:pt>
                <c:pt idx="1">
                  <c:v>25.3</c:v>
                </c:pt>
                <c:pt idx="2">
                  <c:v>32.4</c:v>
                </c:pt>
                <c:pt idx="3">
                  <c:v>23.6</c:v>
                </c:pt>
                <c:pt idx="4">
                  <c:v>18.600000000000001</c:v>
                </c:pt>
                <c:pt idx="5">
                  <c:v>39.700000000000003</c:v>
                </c:pt>
                <c:pt idx="6">
                  <c:v>10.3</c:v>
                </c:pt>
                <c:pt idx="7">
                  <c:v>18.399999999999999</c:v>
                </c:pt>
                <c:pt idx="8">
                  <c:v>16.399999999999999</c:v>
                </c:pt>
                <c:pt idx="9">
                  <c:v>37.9</c:v>
                </c:pt>
                <c:pt idx="10">
                  <c:v>31.2</c:v>
                </c:pt>
                <c:pt idx="11">
                  <c:v>23.1</c:v>
                </c:pt>
                <c:pt idx="12">
                  <c:v>7.7</c:v>
                </c:pt>
                <c:pt idx="13">
                  <c:v>23.4</c:v>
                </c:pt>
                <c:pt idx="14">
                  <c:v>17.3</c:v>
                </c:pt>
                <c:pt idx="15">
                  <c:v>6.8</c:v>
                </c:pt>
                <c:pt idx="16">
                  <c:v>17.600000000000001</c:v>
                </c:pt>
                <c:pt idx="17">
                  <c:v>12.7</c:v>
                </c:pt>
                <c:pt idx="18">
                  <c:v>21.6</c:v>
                </c:pt>
                <c:pt idx="19">
                  <c:v>6</c:v>
                </c:pt>
                <c:pt idx="20">
                  <c:v>15.2</c:v>
                </c:pt>
                <c:pt idx="21">
                  <c:v>13.8</c:v>
                </c:pt>
                <c:pt idx="22">
                  <c:v>22.9</c:v>
                </c:pt>
                <c:pt idx="23">
                  <c:v>26.9</c:v>
                </c:pt>
                <c:pt idx="24">
                  <c:v>14</c:v>
                </c:pt>
                <c:pt idx="25">
                  <c:v>18.399999999999999</c:v>
                </c:pt>
                <c:pt idx="26">
                  <c:v>18</c:v>
                </c:pt>
                <c:pt idx="27">
                  <c:v>22.8</c:v>
                </c:pt>
                <c:pt idx="28">
                  <c:v>13.2</c:v>
                </c:pt>
                <c:pt idx="29">
                  <c:v>18.399999999999999</c:v>
                </c:pt>
                <c:pt idx="30">
                  <c:v>24.2</c:v>
                </c:pt>
                <c:pt idx="31">
                  <c:v>10.5</c:v>
                </c:pt>
                <c:pt idx="32">
                  <c:v>13.4</c:v>
                </c:pt>
                <c:pt idx="33">
                  <c:v>2.6</c:v>
                </c:pt>
                <c:pt idx="34">
                  <c:v>12.6</c:v>
                </c:pt>
                <c:pt idx="35">
                  <c:v>20.100000000000001</c:v>
                </c:pt>
                <c:pt idx="36">
                  <c:v>10.9</c:v>
                </c:pt>
                <c:pt idx="37">
                  <c:v>10.199999999999999</c:v>
                </c:pt>
                <c:pt idx="38">
                  <c:v>6.3</c:v>
                </c:pt>
                <c:pt idx="39">
                  <c:v>4.5999999999999996</c:v>
                </c:pt>
              </c:numCache>
            </c:numRef>
          </c:val>
          <c:extLst xmlns:c16r2="http://schemas.microsoft.com/office/drawing/2015/06/chart">
            <c:ext xmlns:c16="http://schemas.microsoft.com/office/drawing/2014/chart" uri="{C3380CC4-5D6E-409C-BE32-E72D297353CC}">
              <c16:uniqueId val="{00000000-CB08-46E5-ACDF-C2C288297406}"/>
            </c:ext>
          </c:extLst>
        </c:ser>
        <c:ser>
          <c:idx val="1"/>
          <c:order val="1"/>
          <c:tx>
            <c:strRef>
              <c:f>Sheet5!$C$2</c:f>
              <c:strCache>
                <c:ptCount val="1"/>
                <c:pt idx="0">
                  <c:v>65+</c:v>
                </c:pt>
              </c:strCache>
            </c:strRef>
          </c:tx>
          <c:invertIfNegative val="0"/>
          <c:cat>
            <c:strRef>
              <c:f>Sheet5!$A$3:$A$42</c:f>
              <c:strCache>
                <c:ptCount val="40"/>
                <c:pt idx="0">
                  <c:v>TN</c:v>
                </c:pt>
                <c:pt idx="1">
                  <c:v>NM</c:v>
                </c:pt>
                <c:pt idx="2">
                  <c:v>IN</c:v>
                </c:pt>
                <c:pt idx="3">
                  <c:v>KY</c:v>
                </c:pt>
                <c:pt idx="4">
                  <c:v>SD</c:v>
                </c:pt>
                <c:pt idx="5">
                  <c:v>DE</c:v>
                </c:pt>
                <c:pt idx="6">
                  <c:v>NH</c:v>
                </c:pt>
                <c:pt idx="7">
                  <c:v>PA</c:v>
                </c:pt>
                <c:pt idx="8">
                  <c:v>ND</c:v>
                </c:pt>
                <c:pt idx="9">
                  <c:v>LA</c:v>
                </c:pt>
                <c:pt idx="10">
                  <c:v>UT</c:v>
                </c:pt>
                <c:pt idx="11">
                  <c:v>MD</c:v>
                </c:pt>
                <c:pt idx="12">
                  <c:v>MT</c:v>
                </c:pt>
                <c:pt idx="13">
                  <c:v>NE</c:v>
                </c:pt>
                <c:pt idx="14">
                  <c:v>GA</c:v>
                </c:pt>
                <c:pt idx="15">
                  <c:v>WY</c:v>
                </c:pt>
                <c:pt idx="16">
                  <c:v>CT</c:v>
                </c:pt>
                <c:pt idx="17">
                  <c:v>RI</c:v>
                </c:pt>
                <c:pt idx="18">
                  <c:v>MS</c:v>
                </c:pt>
                <c:pt idx="19">
                  <c:v>AL</c:v>
                </c:pt>
                <c:pt idx="20">
                  <c:v>WV</c:v>
                </c:pt>
                <c:pt idx="21">
                  <c:v>SC</c:v>
                </c:pt>
                <c:pt idx="22">
                  <c:v>FL</c:v>
                </c:pt>
                <c:pt idx="23">
                  <c:v>AR</c:v>
                </c:pt>
                <c:pt idx="24">
                  <c:v>MI</c:v>
                </c:pt>
                <c:pt idx="25">
                  <c:v>VA</c:v>
                </c:pt>
                <c:pt idx="26">
                  <c:v>IA</c:v>
                </c:pt>
                <c:pt idx="27">
                  <c:v>OK</c:v>
                </c:pt>
                <c:pt idx="28">
                  <c:v>MO</c:v>
                </c:pt>
                <c:pt idx="29">
                  <c:v>NY</c:v>
                </c:pt>
                <c:pt idx="30">
                  <c:v>NJ</c:v>
                </c:pt>
                <c:pt idx="31">
                  <c:v>VT</c:v>
                </c:pt>
                <c:pt idx="32">
                  <c:v>NC</c:v>
                </c:pt>
                <c:pt idx="33">
                  <c:v>MN</c:v>
                </c:pt>
                <c:pt idx="34">
                  <c:v>NV</c:v>
                </c:pt>
                <c:pt idx="35">
                  <c:v>IL</c:v>
                </c:pt>
                <c:pt idx="36">
                  <c:v>WA</c:v>
                </c:pt>
                <c:pt idx="37">
                  <c:v>CA</c:v>
                </c:pt>
                <c:pt idx="38">
                  <c:v>OR</c:v>
                </c:pt>
                <c:pt idx="39">
                  <c:v>AK</c:v>
                </c:pt>
              </c:strCache>
            </c:strRef>
          </c:cat>
          <c:val>
            <c:numRef>
              <c:f>Sheet5!$C$3:$C$42</c:f>
              <c:numCache>
                <c:formatCode>General</c:formatCode>
                <c:ptCount val="40"/>
                <c:pt idx="0">
                  <c:v>93.9</c:v>
                </c:pt>
                <c:pt idx="1">
                  <c:v>85</c:v>
                </c:pt>
                <c:pt idx="2">
                  <c:v>82.1</c:v>
                </c:pt>
                <c:pt idx="3">
                  <c:v>74.900000000000006</c:v>
                </c:pt>
                <c:pt idx="4">
                  <c:v>74</c:v>
                </c:pt>
                <c:pt idx="5">
                  <c:v>70.7</c:v>
                </c:pt>
                <c:pt idx="6">
                  <c:v>68</c:v>
                </c:pt>
                <c:pt idx="7">
                  <c:v>66.599999999999994</c:v>
                </c:pt>
                <c:pt idx="8">
                  <c:v>65.8</c:v>
                </c:pt>
                <c:pt idx="9">
                  <c:v>65.5</c:v>
                </c:pt>
                <c:pt idx="10">
                  <c:v>65.5</c:v>
                </c:pt>
                <c:pt idx="11">
                  <c:v>64.7</c:v>
                </c:pt>
                <c:pt idx="12">
                  <c:v>62.1</c:v>
                </c:pt>
                <c:pt idx="13">
                  <c:v>60.4</c:v>
                </c:pt>
                <c:pt idx="14">
                  <c:v>59.3</c:v>
                </c:pt>
                <c:pt idx="15">
                  <c:v>58.3</c:v>
                </c:pt>
                <c:pt idx="16">
                  <c:v>57.1</c:v>
                </c:pt>
                <c:pt idx="17">
                  <c:v>56.4</c:v>
                </c:pt>
                <c:pt idx="18">
                  <c:v>56.2</c:v>
                </c:pt>
                <c:pt idx="19">
                  <c:v>55.5</c:v>
                </c:pt>
                <c:pt idx="20">
                  <c:v>55.2</c:v>
                </c:pt>
                <c:pt idx="21">
                  <c:v>54.9</c:v>
                </c:pt>
                <c:pt idx="22">
                  <c:v>53.6</c:v>
                </c:pt>
                <c:pt idx="23">
                  <c:v>52.7</c:v>
                </c:pt>
                <c:pt idx="24">
                  <c:v>52.7</c:v>
                </c:pt>
                <c:pt idx="25">
                  <c:v>51.6</c:v>
                </c:pt>
                <c:pt idx="26">
                  <c:v>50.9</c:v>
                </c:pt>
                <c:pt idx="27">
                  <c:v>49.5</c:v>
                </c:pt>
                <c:pt idx="28">
                  <c:v>48.4</c:v>
                </c:pt>
                <c:pt idx="29">
                  <c:v>46.6</c:v>
                </c:pt>
                <c:pt idx="30">
                  <c:v>44.5</c:v>
                </c:pt>
                <c:pt idx="31">
                  <c:v>44.3</c:v>
                </c:pt>
                <c:pt idx="32">
                  <c:v>41.9</c:v>
                </c:pt>
                <c:pt idx="33">
                  <c:v>37.1</c:v>
                </c:pt>
                <c:pt idx="34">
                  <c:v>36.299999999999997</c:v>
                </c:pt>
                <c:pt idx="35">
                  <c:v>36.1</c:v>
                </c:pt>
                <c:pt idx="36">
                  <c:v>25.5</c:v>
                </c:pt>
                <c:pt idx="37">
                  <c:v>21.2</c:v>
                </c:pt>
                <c:pt idx="38">
                  <c:v>19.2</c:v>
                </c:pt>
                <c:pt idx="39">
                  <c:v>12</c:v>
                </c:pt>
              </c:numCache>
            </c:numRef>
          </c:val>
          <c:extLst xmlns:c16r2="http://schemas.microsoft.com/office/drawing/2015/06/chart">
            <c:ext xmlns:c16="http://schemas.microsoft.com/office/drawing/2014/chart" uri="{C3380CC4-5D6E-409C-BE32-E72D297353CC}">
              <c16:uniqueId val="{00000001-CB08-46E5-ACDF-C2C288297406}"/>
            </c:ext>
          </c:extLst>
        </c:ser>
        <c:dLbls>
          <c:showLegendKey val="0"/>
          <c:showVal val="0"/>
          <c:showCatName val="0"/>
          <c:showSerName val="0"/>
          <c:showPercent val="0"/>
          <c:showBubbleSize val="0"/>
        </c:dLbls>
        <c:gapWidth val="60"/>
        <c:axId val="96088448"/>
        <c:axId val="96089984"/>
      </c:barChart>
      <c:catAx>
        <c:axId val="96088448"/>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96089984"/>
        <c:crosses val="autoZero"/>
        <c:auto val="1"/>
        <c:lblAlgn val="ctr"/>
        <c:lblOffset val="100"/>
        <c:tickLblSkip val="1"/>
        <c:noMultiLvlLbl val="0"/>
      </c:catAx>
      <c:valAx>
        <c:axId val="96089984"/>
        <c:scaling>
          <c:orientation val="minMax"/>
        </c:scaling>
        <c:delete val="0"/>
        <c:axPos val="b"/>
        <c:majorGridlines/>
        <c:numFmt formatCode="General" sourceLinked="1"/>
        <c:majorTickMark val="none"/>
        <c:minorTickMark val="none"/>
        <c:tickLblPos val="nextTo"/>
        <c:txPr>
          <a:bodyPr rot="-60000000" vert="horz"/>
          <a:lstStyle/>
          <a:p>
            <a:pPr>
              <a:defRPr/>
            </a:pPr>
            <a:endParaRPr lang="en-US"/>
          </a:p>
        </c:txPr>
        <c:crossAx val="96088448"/>
        <c:crosses val="autoZero"/>
        <c:crossBetween val="between"/>
      </c:valAx>
    </c:plotArea>
    <c:legend>
      <c:legendPos val="b"/>
      <c:layout/>
      <c:overlay val="0"/>
      <c:txPr>
        <a:bodyPr rot="0" vert="horz"/>
        <a:lstStyle/>
        <a:p>
          <a:pPr>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C6BC-E8F0-4EBC-A58C-355B2FE8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5355</Words>
  <Characters>30526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ACL8</cp:lastModifiedBy>
  <cp:revision>2</cp:revision>
  <cp:lastPrinted>2016-08-09T13:14:00Z</cp:lastPrinted>
  <dcterms:created xsi:type="dcterms:W3CDTF">2017-08-04T16:03:00Z</dcterms:created>
  <dcterms:modified xsi:type="dcterms:W3CDTF">2017-08-04T16:03:00Z</dcterms:modified>
</cp:coreProperties>
</file>