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8D" w:rsidRPr="003E617B" w:rsidRDefault="002146F0" w:rsidP="003E617B">
      <w:pPr>
        <w:pStyle w:val="Heading2"/>
        <w:jc w:val="center"/>
        <w:rPr>
          <w:rFonts w:asciiTheme="minorHAnsi" w:hAnsiTheme="minorHAnsi"/>
          <w:color w:val="auto"/>
          <w:sz w:val="28"/>
          <w:szCs w:val="28"/>
        </w:rPr>
      </w:pPr>
      <w:r w:rsidRPr="003E617B">
        <w:rPr>
          <w:rFonts w:asciiTheme="minorHAnsi" w:hAnsiTheme="minorHAnsi"/>
          <w:color w:val="auto"/>
          <w:sz w:val="28"/>
          <w:szCs w:val="28"/>
        </w:rPr>
        <w:t xml:space="preserve">Opportunities to Improve Nutrition </w:t>
      </w:r>
      <w:r w:rsidR="00D057FF" w:rsidRPr="003E617B">
        <w:rPr>
          <w:rFonts w:asciiTheme="minorHAnsi" w:hAnsiTheme="minorHAnsi"/>
          <w:color w:val="auto"/>
          <w:sz w:val="28"/>
          <w:szCs w:val="28"/>
        </w:rPr>
        <w:t xml:space="preserve">for </w:t>
      </w:r>
      <w:r w:rsidRPr="003E617B">
        <w:rPr>
          <w:rFonts w:asciiTheme="minorHAnsi" w:hAnsiTheme="minorHAnsi"/>
          <w:color w:val="auto"/>
          <w:sz w:val="28"/>
          <w:szCs w:val="28"/>
        </w:rPr>
        <w:t>Older Adults</w:t>
      </w:r>
      <w:r w:rsidR="002D1F91" w:rsidRPr="003E617B">
        <w:rPr>
          <w:rFonts w:asciiTheme="minorHAnsi" w:hAnsiTheme="minorHAnsi"/>
          <w:color w:val="auto"/>
          <w:sz w:val="28"/>
          <w:szCs w:val="28"/>
        </w:rPr>
        <w:t xml:space="preserve"> </w:t>
      </w:r>
      <w:r w:rsidRPr="003E617B">
        <w:rPr>
          <w:rFonts w:asciiTheme="minorHAnsi" w:hAnsiTheme="minorHAnsi"/>
          <w:color w:val="auto"/>
          <w:sz w:val="28"/>
          <w:szCs w:val="28"/>
        </w:rPr>
        <w:t>and</w:t>
      </w:r>
    </w:p>
    <w:p w:rsidR="00767033" w:rsidRPr="00A25426" w:rsidRDefault="00D057FF" w:rsidP="003E617B">
      <w:pPr>
        <w:pStyle w:val="Heading2"/>
        <w:spacing w:before="0" w:after="4080"/>
        <w:jc w:val="center"/>
      </w:pPr>
      <w:r w:rsidRPr="003E617B">
        <w:rPr>
          <w:rFonts w:asciiTheme="minorHAnsi" w:hAnsiTheme="minorHAnsi"/>
          <w:color w:val="auto"/>
          <w:sz w:val="28"/>
          <w:szCs w:val="28"/>
        </w:rPr>
        <w:t>Reduce</w:t>
      </w:r>
      <w:r w:rsidR="002146F0" w:rsidRPr="003E617B">
        <w:rPr>
          <w:rFonts w:asciiTheme="minorHAnsi" w:hAnsiTheme="minorHAnsi"/>
          <w:color w:val="auto"/>
          <w:sz w:val="28"/>
          <w:szCs w:val="28"/>
        </w:rPr>
        <w:t xml:space="preserve"> Risk of Poor Health Outcomes</w:t>
      </w:r>
    </w:p>
    <w:p w:rsidR="00767033" w:rsidRPr="009006B4" w:rsidRDefault="00767033" w:rsidP="003F2746">
      <w:pPr>
        <w:spacing w:line="240" w:lineRule="auto"/>
        <w:jc w:val="center"/>
        <w:rPr>
          <w:sz w:val="24"/>
          <w:szCs w:val="24"/>
        </w:rPr>
      </w:pPr>
      <w:r w:rsidRPr="009006B4">
        <w:rPr>
          <w:sz w:val="24"/>
          <w:szCs w:val="24"/>
        </w:rPr>
        <w:t>Jane Tilly, DrPH</w:t>
      </w:r>
    </w:p>
    <w:p w:rsidR="00153F47" w:rsidRPr="009006B4" w:rsidRDefault="00153F47" w:rsidP="003F2746">
      <w:pPr>
        <w:spacing w:line="240" w:lineRule="auto"/>
        <w:jc w:val="center"/>
        <w:rPr>
          <w:sz w:val="24"/>
          <w:szCs w:val="24"/>
        </w:rPr>
      </w:pPr>
      <w:r w:rsidRPr="009006B4">
        <w:rPr>
          <w:sz w:val="24"/>
          <w:szCs w:val="24"/>
        </w:rPr>
        <w:t>Administration for Community Living, Center for Policy and Evaluation</w:t>
      </w:r>
    </w:p>
    <w:p w:rsidR="00767033" w:rsidRPr="009006B4" w:rsidRDefault="001548C2" w:rsidP="009006B4">
      <w:pPr>
        <w:spacing w:after="4080" w:line="240" w:lineRule="auto"/>
        <w:jc w:val="center"/>
        <w:rPr>
          <w:sz w:val="24"/>
          <w:szCs w:val="24"/>
        </w:rPr>
      </w:pPr>
      <w:r w:rsidRPr="009006B4">
        <w:rPr>
          <w:sz w:val="24"/>
          <w:szCs w:val="24"/>
        </w:rPr>
        <w:t>March</w:t>
      </w:r>
      <w:r w:rsidR="00767033" w:rsidRPr="009006B4">
        <w:rPr>
          <w:sz w:val="24"/>
          <w:szCs w:val="24"/>
        </w:rPr>
        <w:t>, 2017</w:t>
      </w:r>
    </w:p>
    <w:p w:rsidR="00A25426" w:rsidRPr="00E21135" w:rsidRDefault="00A25426" w:rsidP="00A25426">
      <w:pPr>
        <w:rPr>
          <w:b/>
          <w:sz w:val="24"/>
          <w:szCs w:val="24"/>
        </w:rPr>
      </w:pPr>
      <w:r w:rsidRPr="00E21135">
        <w:rPr>
          <w:rFonts w:cs="Calibri"/>
          <w:i/>
          <w:iCs/>
          <w:color w:val="000000"/>
          <w:sz w:val="24"/>
          <w:szCs w:val="24"/>
        </w:rPr>
        <w:t>The views expressed in this paper are those of the author and not necessarily those of the Administration for Community Living or the U.S. Department of Health and Human Services.</w:t>
      </w:r>
    </w:p>
    <w:p w:rsidR="009006B4" w:rsidRDefault="009006B4">
      <w:pPr>
        <w:rPr>
          <w:b/>
          <w:sz w:val="28"/>
          <w:szCs w:val="28"/>
        </w:rPr>
      </w:pPr>
      <w:r>
        <w:rPr>
          <w:b/>
          <w:sz w:val="28"/>
          <w:szCs w:val="28"/>
        </w:rPr>
        <w:br w:type="page"/>
      </w:r>
    </w:p>
    <w:p w:rsidR="00A25426" w:rsidRPr="009006B4" w:rsidRDefault="00A25426" w:rsidP="009006B4">
      <w:pPr>
        <w:pStyle w:val="Heading1"/>
        <w:spacing w:before="0"/>
        <w:jc w:val="center"/>
        <w:rPr>
          <w:rFonts w:asciiTheme="minorHAnsi" w:hAnsiTheme="minorHAnsi"/>
          <w:color w:val="auto"/>
        </w:rPr>
      </w:pPr>
      <w:r w:rsidRPr="009006B4">
        <w:rPr>
          <w:rFonts w:asciiTheme="minorHAnsi" w:hAnsiTheme="minorHAnsi"/>
          <w:color w:val="auto"/>
        </w:rPr>
        <w:lastRenderedPageBreak/>
        <w:t>Opportunities to Improve Nutrition for Older Adults and</w:t>
      </w:r>
    </w:p>
    <w:p w:rsidR="00A25426" w:rsidRPr="009006B4" w:rsidRDefault="00A25426" w:rsidP="009006B4">
      <w:pPr>
        <w:pStyle w:val="Heading1"/>
        <w:spacing w:before="0" w:after="240"/>
        <w:jc w:val="center"/>
        <w:rPr>
          <w:rFonts w:asciiTheme="minorHAnsi" w:hAnsiTheme="minorHAnsi"/>
          <w:color w:val="auto"/>
        </w:rPr>
      </w:pPr>
      <w:r w:rsidRPr="009006B4">
        <w:rPr>
          <w:rFonts w:asciiTheme="minorHAnsi" w:hAnsiTheme="minorHAnsi"/>
          <w:color w:val="auto"/>
        </w:rPr>
        <w:t>Reduce Risk of Poor Health Outcomes</w:t>
      </w:r>
    </w:p>
    <w:p w:rsidR="00B0447D" w:rsidRPr="00A25426" w:rsidRDefault="00331299" w:rsidP="00B0447D">
      <w:pPr>
        <w:jc w:val="center"/>
        <w:rPr>
          <w:b/>
          <w:sz w:val="24"/>
          <w:szCs w:val="24"/>
        </w:rPr>
      </w:pPr>
      <w:r>
        <w:rPr>
          <w:b/>
          <w:sz w:val="24"/>
          <w:szCs w:val="24"/>
        </w:rPr>
        <w:t>Executive Summary</w:t>
      </w:r>
    </w:p>
    <w:p w:rsidR="00F328F0" w:rsidRDefault="00F328F0" w:rsidP="00F328F0">
      <w:pPr>
        <w:spacing w:line="240" w:lineRule="auto"/>
      </w:pPr>
      <w:r w:rsidRPr="00F328F0">
        <w:t xml:space="preserve">Older adults may experience nutrition risks or malnutrition as their bodies change with age.  Physiological processes slow, appetites may decrease and physical problems can arise.  In addition, older adults’ chronic conditions and use of multiple medications may increase, which may affect nutrition status.  Psychosocial risk factors for malnutrition include cognitive impairment, depression, isolation and difficulty accessing food.  People can become malnourished whether they are underweight, overweight, or obese and experience the resulting adverse effects on their health, function and well-being. </w:t>
      </w:r>
    </w:p>
    <w:p w:rsidR="00B91733" w:rsidRDefault="00B91733" w:rsidP="00F328F0">
      <w:pPr>
        <w:spacing w:line="240" w:lineRule="auto"/>
      </w:pPr>
      <w:r w:rsidRPr="00B91733">
        <w:t>As a result of these physiological, physical, health, and psychosocial factors, studies document a 30% decrease in food intake in healthy, community dwelling adults between the ages of 20 and 80.  In addition, many studies document undernutrition among older adults</w:t>
      </w:r>
      <w:r w:rsidR="003A2B6B">
        <w:t xml:space="preserve">. </w:t>
      </w:r>
      <w:r w:rsidRPr="00B91733">
        <w:t xml:space="preserve"> </w:t>
      </w:r>
      <w:r w:rsidR="003A2B6B">
        <w:t>T</w:t>
      </w:r>
      <w:r w:rsidRPr="00B91733">
        <w:t>hose at greatest risk of undernutrition are older women, minorities, and people who are poor or live in rural areas.  Being age 75+ is an independent risk factor</w:t>
      </w:r>
      <w:r w:rsidR="003A2B6B">
        <w:t xml:space="preserve"> for poor nutrition</w:t>
      </w:r>
      <w:r w:rsidRPr="00B91733">
        <w:t>.</w:t>
      </w:r>
    </w:p>
    <w:p w:rsidR="007E2F8E" w:rsidRDefault="007E2F8E" w:rsidP="007E2F8E">
      <w:pPr>
        <w:spacing w:line="240" w:lineRule="auto"/>
      </w:pPr>
      <w:r w:rsidRPr="00153F47">
        <w:t>Those experiencing malnutrition</w:t>
      </w:r>
      <w:r>
        <w:t xml:space="preserve"> of any type, including</w:t>
      </w:r>
      <w:r w:rsidRPr="00153F47">
        <w:t xml:space="preserve"> undernutrition</w:t>
      </w:r>
      <w:r>
        <w:t>,</w:t>
      </w:r>
      <w:r w:rsidRPr="00153F47">
        <w:t xml:space="preserve"> are at risk of many hea</w:t>
      </w:r>
      <w:r>
        <w:t>lth consequences.  M</w:t>
      </w:r>
      <w:r w:rsidRPr="00153F47">
        <w:t xml:space="preserve">alnutrition can </w:t>
      </w:r>
      <w:r>
        <w:t xml:space="preserve">impair </w:t>
      </w:r>
      <w:r w:rsidRPr="00153F47">
        <w:t xml:space="preserve">bodily systems, </w:t>
      </w:r>
      <w:r>
        <w:t>and function, whi</w:t>
      </w:r>
      <w:r w:rsidR="003A2B6B">
        <w:t>ch can result in even more harm</w:t>
      </w:r>
      <w:r>
        <w:t>.  U</w:t>
      </w:r>
      <w:r w:rsidRPr="00153F47">
        <w:t>ndernutrition is related to</w:t>
      </w:r>
      <w:r>
        <w:t xml:space="preserve"> many outcomes i</w:t>
      </w:r>
      <w:r w:rsidRPr="00153F47">
        <w:t>ncluding</w:t>
      </w:r>
      <w:r>
        <w:t xml:space="preserve">: </w:t>
      </w:r>
      <w:r w:rsidRPr="00153F47">
        <w:t>reduced cognition, loss of lean body and skeletal mass, sarcopenia, inflammatory stress, compromised immune function, susceptibility to infection, impaired ph</w:t>
      </w:r>
      <w:r>
        <w:t>ysical function, depression,</w:t>
      </w:r>
      <w:r w:rsidRPr="00153F47">
        <w:t xml:space="preserve"> </w:t>
      </w:r>
      <w:r>
        <w:t>increased dependence</w:t>
      </w:r>
      <w:r w:rsidRPr="00153F47">
        <w:t>, and reduce</w:t>
      </w:r>
      <w:r w:rsidR="003A2B6B">
        <w:t>d quality of life</w:t>
      </w:r>
      <w:r w:rsidRPr="00153F47">
        <w:t xml:space="preserve">.  Undernutrition also results in </w:t>
      </w:r>
      <w:r>
        <w:t xml:space="preserve">increased falls, </w:t>
      </w:r>
      <w:r w:rsidRPr="00153F47">
        <w:t xml:space="preserve">poor wound healing, delayed recovery from surgery, </w:t>
      </w:r>
      <w:r>
        <w:t>more  hospital use</w:t>
      </w:r>
      <w:r w:rsidRPr="00153F47">
        <w:t>, premature institutionalizati</w:t>
      </w:r>
      <w:r>
        <w:t>on, and increased mortality</w:t>
      </w:r>
      <w:r w:rsidRPr="00153F47">
        <w:t>.</w:t>
      </w:r>
    </w:p>
    <w:p w:rsidR="00D67DDF" w:rsidRPr="00153F47" w:rsidRDefault="007E2F8E" w:rsidP="007E2F8E">
      <w:pPr>
        <w:spacing w:line="240" w:lineRule="auto"/>
      </w:pPr>
      <w:r w:rsidRPr="00153F47">
        <w:t xml:space="preserve">The basic approach to addressing </w:t>
      </w:r>
      <w:r>
        <w:t>malnutrition</w:t>
      </w:r>
      <w:r w:rsidRPr="00153F47">
        <w:t xml:space="preserve"> among community living older adults involves</w:t>
      </w:r>
      <w:r>
        <w:t xml:space="preserve"> periodic</w:t>
      </w:r>
      <w:r w:rsidRPr="00153F47">
        <w:t xml:space="preserve"> screening</w:t>
      </w:r>
      <w:r>
        <w:t xml:space="preserve">, assessment of those at risk of malnutrition, and individually-tailored approaches to addressing the condition.  </w:t>
      </w:r>
      <w:r w:rsidRPr="00153F47">
        <w:t xml:space="preserve">Successful treatments for those in the community who </w:t>
      </w:r>
      <w:r>
        <w:t xml:space="preserve">experience undernutrition </w:t>
      </w:r>
      <w:r w:rsidRPr="00153F47">
        <w:t xml:space="preserve">involve </w:t>
      </w:r>
      <w:r>
        <w:t xml:space="preserve">addressing the individual’s unique set of risks documented during assessments.  Addressing these risks may involve provision of meals, meal enhancements, and, for those who need them, nutrition supplements. </w:t>
      </w:r>
      <w:r w:rsidRPr="00153F47">
        <w:t xml:space="preserve"> </w:t>
      </w:r>
      <w:r>
        <w:t>Addressing psychosocial factors, such as depression and isolation may require opportunities for treatment and socialization.</w:t>
      </w:r>
      <w:r w:rsidRPr="00F340A1">
        <w:t xml:space="preserve"> </w:t>
      </w:r>
      <w:r>
        <w:t>Social interventions may</w:t>
      </w:r>
      <w:r w:rsidRPr="00F340A1">
        <w:t xml:space="preserve"> improve </w:t>
      </w:r>
      <w:r>
        <w:t>nutrition</w:t>
      </w:r>
      <w:r w:rsidR="00D67DDF">
        <w:t xml:space="preserve"> status.</w:t>
      </w:r>
    </w:p>
    <w:p w:rsidR="00833D39" w:rsidRDefault="00833D39" w:rsidP="00833D39">
      <w:pPr>
        <w:spacing w:line="240" w:lineRule="auto"/>
      </w:pPr>
      <w:r>
        <w:t>According to the evidence, certain f</w:t>
      </w:r>
      <w:r w:rsidRPr="00153F47">
        <w:t xml:space="preserve">ederal </w:t>
      </w:r>
      <w:r>
        <w:t xml:space="preserve">nutrition assistance </w:t>
      </w:r>
      <w:r w:rsidRPr="00153F47">
        <w:t>programs</w:t>
      </w:r>
      <w:r>
        <w:t>, which are available under the Older Americans Act, help</w:t>
      </w:r>
      <w:r w:rsidRPr="00153F47">
        <w:t xml:space="preserve"> older adults in meeting their nutrition needs</w:t>
      </w:r>
      <w:r w:rsidR="00D67DDF">
        <w:t xml:space="preserve">.  </w:t>
      </w:r>
      <w:r>
        <w:t xml:space="preserve">The Home-delivered and Congregate Nutrition Services Programs provided meals to about 2.4 million people, among other services, in Federal Fiscal Year 2014.  </w:t>
      </w:r>
    </w:p>
    <w:p w:rsidR="00791D34" w:rsidRDefault="00833D39" w:rsidP="00B0447D">
      <w:pPr>
        <w:spacing w:line="240" w:lineRule="auto"/>
      </w:pPr>
      <w:r>
        <w:t>Hospitalization</w:t>
      </w:r>
      <w:r w:rsidRPr="00153F47">
        <w:t xml:space="preserve"> poses special risks for older adults’ nutrition.  A large minority of patients are malnourished when entering the hospital and a majority of patients get</w:t>
      </w:r>
      <w:r>
        <w:t xml:space="preserve"> worse during hospitalization. </w:t>
      </w:r>
      <w:r w:rsidRPr="00153F47">
        <w:t xml:space="preserve">Fortunately, there are clear practice </w:t>
      </w:r>
      <w:r>
        <w:t>recommendations available related to</w:t>
      </w:r>
      <w:r w:rsidRPr="00153F47">
        <w:t xml:space="preserve"> </w:t>
      </w:r>
      <w:r>
        <w:t>hospitalized patients and</w:t>
      </w:r>
      <w:r w:rsidRPr="00153F47">
        <w:t xml:space="preserve"> evidence that certain interventions can help hospital patients cope with malnutrition.</w:t>
      </w:r>
      <w:r w:rsidR="005A7876">
        <w:t xml:space="preserve"> The e</w:t>
      </w:r>
      <w:r w:rsidRPr="00833D39">
        <w:t xml:space="preserve">vidence supports nutrition interventions in the hospital and after discharge for at-risk older adults.  OAA nutrition programs are uniquely positioned to improve outcomes for this group through nutrition programs, including nutrition screening, assessments, education, and meals. </w:t>
      </w:r>
    </w:p>
    <w:p w:rsidR="00791D34" w:rsidRDefault="00791D34">
      <w:r>
        <w:br w:type="page"/>
      </w:r>
    </w:p>
    <w:p w:rsidR="00E21135" w:rsidRPr="00A25426" w:rsidRDefault="00E21135" w:rsidP="009006B4">
      <w:pPr>
        <w:spacing w:after="0" w:line="240" w:lineRule="auto"/>
        <w:jc w:val="center"/>
        <w:rPr>
          <w:b/>
          <w:sz w:val="28"/>
          <w:szCs w:val="28"/>
        </w:rPr>
      </w:pPr>
      <w:r w:rsidRPr="00A25426">
        <w:rPr>
          <w:b/>
          <w:sz w:val="28"/>
          <w:szCs w:val="28"/>
        </w:rPr>
        <w:lastRenderedPageBreak/>
        <w:t xml:space="preserve">Opportunities to Improve Nutrition for Older Adults and </w:t>
      </w:r>
    </w:p>
    <w:p w:rsidR="00E21135" w:rsidRPr="00A25426" w:rsidRDefault="00E21135" w:rsidP="009006B4">
      <w:pPr>
        <w:spacing w:after="240" w:line="240" w:lineRule="auto"/>
        <w:jc w:val="center"/>
        <w:rPr>
          <w:b/>
          <w:sz w:val="28"/>
          <w:szCs w:val="28"/>
        </w:rPr>
      </w:pPr>
      <w:r w:rsidRPr="00A25426">
        <w:rPr>
          <w:b/>
          <w:sz w:val="28"/>
          <w:szCs w:val="28"/>
        </w:rPr>
        <w:t>Reduce Risk of Poor Health Outcomes</w:t>
      </w:r>
    </w:p>
    <w:p w:rsidR="00B0447D" w:rsidRPr="00C5404F" w:rsidRDefault="00B0447D" w:rsidP="00C5404F">
      <w:pPr>
        <w:pStyle w:val="Heading1"/>
        <w:numPr>
          <w:ilvl w:val="0"/>
          <w:numId w:val="29"/>
        </w:numPr>
        <w:rPr>
          <w:rFonts w:asciiTheme="minorHAnsi" w:hAnsiTheme="minorHAnsi"/>
          <w:sz w:val="22"/>
          <w:szCs w:val="22"/>
        </w:rPr>
      </w:pPr>
      <w:r w:rsidRPr="00C5404F">
        <w:rPr>
          <w:rFonts w:asciiTheme="minorHAnsi" w:hAnsiTheme="minorHAnsi"/>
          <w:color w:val="auto"/>
          <w:sz w:val="22"/>
          <w:szCs w:val="22"/>
        </w:rPr>
        <w:t>Introduction</w:t>
      </w:r>
    </w:p>
    <w:p w:rsidR="00740B55" w:rsidRDefault="00740B55" w:rsidP="00740B55">
      <w:pPr>
        <w:spacing w:line="240" w:lineRule="auto"/>
      </w:pPr>
      <w:r>
        <w:t>As people age, they may</w:t>
      </w:r>
      <w:r w:rsidRPr="00153F47">
        <w:t xml:space="preserve"> ex</w:t>
      </w:r>
      <w:r w:rsidR="00985D40">
        <w:t>perience malnutrition</w:t>
      </w:r>
      <w:r>
        <w:t xml:space="preserve">. </w:t>
      </w:r>
      <w:r w:rsidRPr="00153F47">
        <w:t xml:space="preserve"> Appetite and the body’s </w:t>
      </w:r>
      <w:r>
        <w:t>ability to process food may decrease</w:t>
      </w:r>
      <w:r w:rsidRPr="00153F47">
        <w:t xml:space="preserve"> with age, while health conditions and use of medications that can affect </w:t>
      </w:r>
      <w:r w:rsidR="00BE4698">
        <w:t>nutrition</w:t>
      </w:r>
      <w:r w:rsidRPr="00153F47">
        <w:t xml:space="preserve"> </w:t>
      </w:r>
      <w:r>
        <w:t>status may increase</w:t>
      </w:r>
      <w:r w:rsidRPr="00153F47">
        <w:t>.</w:t>
      </w:r>
      <w:r>
        <w:t xml:space="preserve"> </w:t>
      </w:r>
      <w:r w:rsidR="00032A46">
        <w:t xml:space="preserve"> </w:t>
      </w:r>
      <w:r>
        <w:t xml:space="preserve">In addition, limited ability to shop for and prepare food can </w:t>
      </w:r>
      <w:r w:rsidR="00874D66">
        <w:t xml:space="preserve">affect a person’s access to it.  </w:t>
      </w:r>
      <w:r w:rsidR="000417D7">
        <w:t xml:space="preserve">Psychosocial factors like isolation and depression can affect </w:t>
      </w:r>
      <w:r w:rsidR="00BE4698">
        <w:t>nutrition</w:t>
      </w:r>
      <w:r w:rsidR="0075113A">
        <w:t xml:space="preserve"> status</w:t>
      </w:r>
      <w:r w:rsidR="002D261F">
        <w:t>.</w:t>
      </w:r>
      <w:r w:rsidR="000417D7" w:rsidRPr="000417D7">
        <w:t xml:space="preserve"> </w:t>
      </w:r>
      <w:r w:rsidR="00874D66">
        <w:t xml:space="preserve"> </w:t>
      </w:r>
    </w:p>
    <w:p w:rsidR="00B71D3E" w:rsidRPr="00153F47" w:rsidRDefault="00740B55" w:rsidP="003F2746">
      <w:pPr>
        <w:spacing w:line="240" w:lineRule="auto"/>
      </w:pPr>
      <w:r w:rsidRPr="00153F47">
        <w:t xml:space="preserve">Inadequate attention to malnutrition </w:t>
      </w:r>
      <w:r>
        <w:t xml:space="preserve">may lead to poor health in </w:t>
      </w:r>
      <w:r w:rsidRPr="00153F47">
        <w:t xml:space="preserve">older adults. </w:t>
      </w:r>
      <w:r w:rsidR="00B62EB6">
        <w:t xml:space="preserve"> T</w:t>
      </w:r>
      <w:r w:rsidR="00E01D1E">
        <w:t>his issue</w:t>
      </w:r>
      <w:r w:rsidR="00D60ED6">
        <w:t xml:space="preserve"> brief defines</w:t>
      </w:r>
      <w:r w:rsidR="001367E2" w:rsidRPr="00153F47">
        <w:t xml:space="preserve"> malnutrition and </w:t>
      </w:r>
      <w:r w:rsidR="00D60ED6">
        <w:t>describes</w:t>
      </w:r>
      <w:r w:rsidR="00B71D3E" w:rsidRPr="00153F47">
        <w:t xml:space="preserve"> the aging process</w:t>
      </w:r>
      <w:r w:rsidR="00D60ED6">
        <w:t>’</w:t>
      </w:r>
      <w:r w:rsidR="000503AB" w:rsidRPr="00153F47">
        <w:t xml:space="preserve"> effects on </w:t>
      </w:r>
      <w:r w:rsidR="00BE4698">
        <w:t>nutrition</w:t>
      </w:r>
      <w:r w:rsidR="00E4326C">
        <w:t xml:space="preserve"> status</w:t>
      </w:r>
      <w:r w:rsidR="00D60ED6">
        <w:t>.  Next, the</w:t>
      </w:r>
      <w:r w:rsidR="00E01D1E">
        <w:t xml:space="preserve"> iss</w:t>
      </w:r>
      <w:r w:rsidR="00B62EB6">
        <w:t>u</w:t>
      </w:r>
      <w:r w:rsidR="00E01D1E">
        <w:t>e</w:t>
      </w:r>
      <w:r w:rsidR="00B71D3E" w:rsidRPr="00153F47">
        <w:t xml:space="preserve"> brief summarizes the evidence</w:t>
      </w:r>
      <w:r w:rsidR="00D60ED6">
        <w:t xml:space="preserve"> </w:t>
      </w:r>
      <w:r w:rsidR="00B71D3E" w:rsidRPr="00153F47">
        <w:t>and profe</w:t>
      </w:r>
      <w:r w:rsidR="00E17B65" w:rsidRPr="00153F47">
        <w:t xml:space="preserve">ssional consensus </w:t>
      </w:r>
      <w:r w:rsidR="00F1587B">
        <w:t>around interventions that can be</w:t>
      </w:r>
      <w:r w:rsidR="00B71D3E" w:rsidRPr="00153F47">
        <w:t xml:space="preserve"> effective in helping </w:t>
      </w:r>
      <w:r w:rsidR="00E17B65" w:rsidRPr="00153F47">
        <w:t>malnourished older adults</w:t>
      </w:r>
      <w:r w:rsidR="00B71D3E" w:rsidRPr="00153F47">
        <w:t xml:space="preserve">. </w:t>
      </w:r>
      <w:r w:rsidR="00573BC6" w:rsidRPr="00153F47">
        <w:t xml:space="preserve"> The interventions include</w:t>
      </w:r>
      <w:r w:rsidR="00573BC6" w:rsidRPr="00D50914">
        <w:t>:</w:t>
      </w:r>
      <w:r w:rsidR="00242786" w:rsidRPr="00D50914">
        <w:t xml:space="preserve"> </w:t>
      </w:r>
      <w:r w:rsidR="00D50914">
        <w:t xml:space="preserve">provision of </w:t>
      </w:r>
      <w:r w:rsidR="00242786">
        <w:t>meals,</w:t>
      </w:r>
      <w:r w:rsidR="00573BC6" w:rsidRPr="00153F47">
        <w:t xml:space="preserve"> meal enhancement</w:t>
      </w:r>
      <w:r w:rsidR="00D60ED6">
        <w:t>s</w:t>
      </w:r>
      <w:r w:rsidR="00573BC6" w:rsidRPr="00153F47">
        <w:t>, and</w:t>
      </w:r>
      <w:r w:rsidR="00874D66">
        <w:t xml:space="preserve"> those targeting hospital patients</w:t>
      </w:r>
      <w:r w:rsidR="00573BC6" w:rsidRPr="00F340A1">
        <w:t xml:space="preserve">.  </w:t>
      </w:r>
      <w:r w:rsidR="008E31ED" w:rsidRPr="00153F47">
        <w:t xml:space="preserve">Finally, the brief </w:t>
      </w:r>
      <w:r w:rsidR="00242786">
        <w:t>offers some</w:t>
      </w:r>
      <w:r w:rsidR="00F1587B">
        <w:t xml:space="preserve"> </w:t>
      </w:r>
      <w:r w:rsidR="00985D40">
        <w:t>examples</w:t>
      </w:r>
      <w:r w:rsidR="00874D66">
        <w:t xml:space="preserve"> for</w:t>
      </w:r>
      <w:r w:rsidR="00F1587B">
        <w:t xml:space="preserve"> states to consider when they</w:t>
      </w:r>
      <w:r w:rsidR="00874D66">
        <w:t xml:space="preserve"> </w:t>
      </w:r>
      <w:r w:rsidR="00F1587B">
        <w:t>address</w:t>
      </w:r>
      <w:r w:rsidR="00573BC6" w:rsidRPr="00153F47">
        <w:t xml:space="preserve"> malnutrition</w:t>
      </w:r>
      <w:r w:rsidR="00EC25FF">
        <w:t xml:space="preserve"> through meals and</w:t>
      </w:r>
      <w:r w:rsidR="00F1587B">
        <w:t xml:space="preserve"> other</w:t>
      </w:r>
      <w:r w:rsidR="00EC25FF">
        <w:t xml:space="preserve"> nutrition</w:t>
      </w:r>
      <w:r w:rsidR="00F1587B">
        <w:t>-related</w:t>
      </w:r>
      <w:r w:rsidR="00EC25FF">
        <w:t xml:space="preserve"> assistance</w:t>
      </w:r>
      <w:r w:rsidR="00D60ED6">
        <w:t xml:space="preserve"> for community-living</w:t>
      </w:r>
      <w:r w:rsidR="00573BC6" w:rsidRPr="00153F47">
        <w:t xml:space="preserve"> older adults.</w:t>
      </w:r>
      <w:r w:rsidR="003153B5">
        <w:t xml:space="preserve">  </w:t>
      </w:r>
    </w:p>
    <w:p w:rsidR="008E31ED" w:rsidRPr="00C5404F" w:rsidRDefault="008E31ED" w:rsidP="00C5404F">
      <w:pPr>
        <w:pStyle w:val="Heading1"/>
        <w:numPr>
          <w:ilvl w:val="0"/>
          <w:numId w:val="29"/>
        </w:numPr>
        <w:rPr>
          <w:rFonts w:asciiTheme="minorHAnsi" w:hAnsiTheme="minorHAnsi"/>
          <w:color w:val="auto"/>
          <w:sz w:val="22"/>
          <w:szCs w:val="22"/>
        </w:rPr>
      </w:pPr>
      <w:r w:rsidRPr="00C5404F">
        <w:rPr>
          <w:rFonts w:asciiTheme="minorHAnsi" w:hAnsiTheme="minorHAnsi"/>
          <w:color w:val="auto"/>
          <w:sz w:val="22"/>
          <w:szCs w:val="22"/>
        </w:rPr>
        <w:t>Malnutrition among Older Adults</w:t>
      </w:r>
    </w:p>
    <w:p w:rsidR="00D073B1" w:rsidRPr="00153F47" w:rsidRDefault="006B5F8A" w:rsidP="00D073B1">
      <w:pPr>
        <w:spacing w:line="240" w:lineRule="auto"/>
        <w:rPr>
          <w:b/>
        </w:rPr>
      </w:pPr>
      <w:r w:rsidRPr="00153F47">
        <w:t xml:space="preserve">The most common definition of malnutrition is: too little or too much energy, protein, and nutrients that </w:t>
      </w:r>
      <w:r w:rsidR="005A6D5F">
        <w:t>can cause adverse effects on a person’s</w:t>
      </w:r>
      <w:r w:rsidRPr="00153F47">
        <w:t xml:space="preserve"> body and its function, and clinical outcomes (Agarwal</w:t>
      </w:r>
      <w:r w:rsidR="004726E7">
        <w:t>, et al.,</w:t>
      </w:r>
      <w:r w:rsidRPr="00153F47">
        <w:t xml:space="preserve"> 2013). </w:t>
      </w:r>
      <w:r>
        <w:t xml:space="preserve"> </w:t>
      </w:r>
      <w:r w:rsidR="005A6D5F">
        <w:t>Malnutrition happens</w:t>
      </w:r>
      <w:r w:rsidR="00D073B1" w:rsidRPr="00153F47">
        <w:t xml:space="preserve"> when a person has an imbalance between the nutrients they need and those that they receive</w:t>
      </w:r>
      <w:r w:rsidR="005A6D5F">
        <w:t xml:space="preserve"> and can result </w:t>
      </w:r>
      <w:r w:rsidR="00D073B1" w:rsidRPr="00153F47">
        <w:t>f</w:t>
      </w:r>
      <w:r w:rsidR="005A6D5F">
        <w:t>rom</w:t>
      </w:r>
      <w:r w:rsidR="00D073B1" w:rsidRPr="00153F47">
        <w:t xml:space="preserve"> overnutrition or undernutrition.  Overnutrition comes from consuming too many calories or too much of any nutrient—protein,</w:t>
      </w:r>
      <w:r w:rsidR="00242786">
        <w:t xml:space="preserve"> fat, </w:t>
      </w:r>
      <w:r w:rsidR="000C773E">
        <w:t xml:space="preserve">carbohydrate, </w:t>
      </w:r>
      <w:r w:rsidR="00242786">
        <w:t>vitamin, mineral, or</w:t>
      </w:r>
      <w:r w:rsidR="00851DB3">
        <w:t xml:space="preserve"> dietary supplement.  </w:t>
      </w:r>
      <w:r w:rsidR="00D073B1" w:rsidRPr="00153F47">
        <w:t xml:space="preserve">Undernutrition results from </w:t>
      </w:r>
      <w:r w:rsidR="00650C1A">
        <w:t>not consuming enough calories,</w:t>
      </w:r>
      <w:r w:rsidR="00D073B1" w:rsidRPr="00153F47">
        <w:t xml:space="preserve"> protein</w:t>
      </w:r>
      <w:r w:rsidR="00650C1A">
        <w:t>, or nutrients</w:t>
      </w:r>
      <w:r w:rsidR="00D073B1" w:rsidRPr="00153F47">
        <w:t xml:space="preserve"> (Merck Manual, 2017). </w:t>
      </w:r>
      <w:r w:rsidR="00D85BB5">
        <w:t xml:space="preserve"> This </w:t>
      </w:r>
      <w:r w:rsidR="00E64FF7">
        <w:t>co</w:t>
      </w:r>
      <w:r w:rsidR="00851DB3">
        <w:t>ndition can lead to weight loss and</w:t>
      </w:r>
      <w:r w:rsidR="00D85BB5">
        <w:t xml:space="preserve"> muscle wasting,</w:t>
      </w:r>
      <w:r w:rsidR="00E64FF7">
        <w:t xml:space="preserve"> </w:t>
      </w:r>
      <w:r w:rsidR="00E64FF7" w:rsidRPr="00E64FF7">
        <w:t>and can result in v</w:t>
      </w:r>
      <w:r w:rsidR="00E64FF7">
        <w:t>itamin and mineral deficiencies,</w:t>
      </w:r>
      <w:r w:rsidR="00D85BB5">
        <w:t xml:space="preserve"> among other consequences. </w:t>
      </w:r>
    </w:p>
    <w:p w:rsidR="00D073B1" w:rsidRPr="00153F47" w:rsidRDefault="00E01D1E" w:rsidP="00D073B1">
      <w:pPr>
        <w:spacing w:line="240" w:lineRule="auto"/>
        <w:rPr>
          <w:b/>
        </w:rPr>
      </w:pPr>
      <w:r>
        <w:t>This issue</w:t>
      </w:r>
      <w:r w:rsidR="00242786">
        <w:t xml:space="preserve"> brief focuses primarily on</w:t>
      </w:r>
      <w:r w:rsidR="00650C1A">
        <w:t xml:space="preserve"> undernutrition</w:t>
      </w:r>
      <w:r w:rsidR="00D073B1" w:rsidRPr="00153F47">
        <w:t xml:space="preserve"> because</w:t>
      </w:r>
      <w:r w:rsidR="005E0E41">
        <w:t xml:space="preserve"> there is</w:t>
      </w:r>
      <w:r w:rsidR="00D073B1" w:rsidRPr="00153F47">
        <w:t xml:space="preserve"> evidence and professional consensus about how to treat thi</w:t>
      </w:r>
      <w:r w:rsidR="005E0E41">
        <w:t>s condition</w:t>
      </w:r>
      <w:r w:rsidR="00650C1A">
        <w:t>.  While older</w:t>
      </w:r>
      <w:r w:rsidR="00E64FF7">
        <w:t xml:space="preserve"> adults often</w:t>
      </w:r>
      <w:r w:rsidR="00650C1A">
        <w:t xml:space="preserve"> experience </w:t>
      </w:r>
      <w:r w:rsidR="00D073B1" w:rsidRPr="00153F47">
        <w:t>overnutrition</w:t>
      </w:r>
      <w:r w:rsidR="00650C1A">
        <w:t xml:space="preserve"> or</w:t>
      </w:r>
      <w:r w:rsidR="00D85BB5">
        <w:t xml:space="preserve"> obes</w:t>
      </w:r>
      <w:r w:rsidR="00650C1A">
        <w:t xml:space="preserve">ity, this brief does not address the topic because: </w:t>
      </w:r>
      <w:r w:rsidR="00697F18">
        <w:t xml:space="preserve"> </w:t>
      </w:r>
      <w:r w:rsidR="00650C1A">
        <w:t>1)</w:t>
      </w:r>
      <w:r w:rsidR="005A6D5F">
        <w:t xml:space="preserve"> evidence </w:t>
      </w:r>
      <w:r w:rsidR="00650C1A">
        <w:t xml:space="preserve">about how to </w:t>
      </w:r>
      <w:r w:rsidR="00851DB3">
        <w:t>treat th</w:t>
      </w:r>
      <w:r w:rsidR="00BE4698">
        <w:t xml:space="preserve">ese conditions is insufficient </w:t>
      </w:r>
      <w:r w:rsidR="00650C1A">
        <w:t>and</w:t>
      </w:r>
      <w:r w:rsidR="00697F18">
        <w:t xml:space="preserve"> </w:t>
      </w:r>
      <w:r w:rsidR="00650C1A">
        <w:t>2) little professional consensus exists about</w:t>
      </w:r>
      <w:r w:rsidR="00D073B1" w:rsidRPr="00153F47">
        <w:t xml:space="preserve"> </w:t>
      </w:r>
      <w:r w:rsidR="00D85BB5">
        <w:t xml:space="preserve">whether or </w:t>
      </w:r>
      <w:r w:rsidR="00D073B1" w:rsidRPr="00153F47">
        <w:t>how to t</w:t>
      </w:r>
      <w:r w:rsidR="005A6D5F">
        <w:t>reat these conditions</w:t>
      </w:r>
      <w:r w:rsidR="00D85BB5">
        <w:t xml:space="preserve"> among older adults</w:t>
      </w:r>
      <w:r w:rsidR="00D073B1" w:rsidRPr="00153F47">
        <w:t xml:space="preserve">. </w:t>
      </w:r>
    </w:p>
    <w:p w:rsidR="001367E2" w:rsidRPr="009A1159" w:rsidRDefault="009A1159" w:rsidP="009A1159">
      <w:pPr>
        <w:pStyle w:val="Heading1"/>
        <w:ind w:left="720"/>
        <w:rPr>
          <w:rFonts w:asciiTheme="minorHAnsi" w:hAnsiTheme="minorHAnsi"/>
          <w:color w:val="auto"/>
          <w:sz w:val="22"/>
          <w:szCs w:val="22"/>
        </w:rPr>
      </w:pPr>
      <w:r>
        <w:rPr>
          <w:rFonts w:asciiTheme="minorHAnsi" w:hAnsiTheme="minorHAnsi"/>
          <w:color w:val="auto"/>
          <w:sz w:val="22"/>
          <w:szCs w:val="22"/>
        </w:rPr>
        <w:t>2.a</w:t>
      </w:r>
      <w:r w:rsidR="00443AA8">
        <w:rPr>
          <w:rFonts w:asciiTheme="minorHAnsi" w:hAnsiTheme="minorHAnsi"/>
          <w:color w:val="auto"/>
          <w:sz w:val="22"/>
          <w:szCs w:val="22"/>
        </w:rPr>
        <w:t>.</w:t>
      </w:r>
      <w:r w:rsidR="00881D7F" w:rsidRPr="009A1159">
        <w:rPr>
          <w:rFonts w:asciiTheme="minorHAnsi" w:hAnsiTheme="minorHAnsi"/>
          <w:color w:val="auto"/>
          <w:sz w:val="22"/>
          <w:szCs w:val="22"/>
        </w:rPr>
        <w:t xml:space="preserve"> Aging and Nutrition</w:t>
      </w:r>
    </w:p>
    <w:p w:rsidR="00D073B1" w:rsidRPr="00153F47" w:rsidRDefault="006414BD" w:rsidP="00D073B1">
      <w:pPr>
        <w:spacing w:line="240" w:lineRule="auto"/>
      </w:pPr>
      <w:r>
        <w:t xml:space="preserve">Older adults may </w:t>
      </w:r>
      <w:r w:rsidRPr="00153F47">
        <w:t>experience</w:t>
      </w:r>
      <w:r>
        <w:t xml:space="preserve"> </w:t>
      </w:r>
      <w:r w:rsidR="00BE4698">
        <w:t>nutrition</w:t>
      </w:r>
      <w:r>
        <w:t xml:space="preserve"> risks or malnutrition as their bodies change with age.  P</w:t>
      </w:r>
      <w:r w:rsidR="00D073B1" w:rsidRPr="00153F47">
        <w:t>hysiological proce</w:t>
      </w:r>
      <w:r w:rsidR="004F2613">
        <w:t>sses slow,</w:t>
      </w:r>
      <w:r w:rsidR="00242786">
        <w:t xml:space="preserve"> appetites </w:t>
      </w:r>
      <w:r w:rsidR="00CA7B09">
        <w:t xml:space="preserve">may </w:t>
      </w:r>
      <w:r w:rsidR="00242786">
        <w:t>decrease</w:t>
      </w:r>
      <w:r w:rsidR="004F2613">
        <w:t xml:space="preserve"> and physical problems can arise</w:t>
      </w:r>
      <w:r w:rsidR="00D073B1" w:rsidRPr="00153F47">
        <w:t>.  In addition</w:t>
      </w:r>
      <w:r w:rsidR="00242786">
        <w:t>, older adults’</w:t>
      </w:r>
      <w:r w:rsidR="00D073B1" w:rsidRPr="00153F47">
        <w:t xml:space="preserve"> chronic conditions and</w:t>
      </w:r>
      <w:r w:rsidR="00D85BB5">
        <w:t xml:space="preserve"> use of multiple</w:t>
      </w:r>
      <w:r w:rsidR="00D073B1" w:rsidRPr="00153F47">
        <w:t xml:space="preserve"> medicatio</w:t>
      </w:r>
      <w:r w:rsidR="00242786">
        <w:t>ns</w:t>
      </w:r>
      <w:r w:rsidR="00571D69">
        <w:t xml:space="preserve"> </w:t>
      </w:r>
      <w:r w:rsidR="00D85BB5">
        <w:t xml:space="preserve">may </w:t>
      </w:r>
      <w:r w:rsidR="00D53129">
        <w:t>increase</w:t>
      </w:r>
      <w:r w:rsidR="00D85BB5">
        <w:t>, which</w:t>
      </w:r>
      <w:r w:rsidR="00D53129">
        <w:t xml:space="preserve"> </w:t>
      </w:r>
      <w:r w:rsidR="00571D69">
        <w:t xml:space="preserve">may affect </w:t>
      </w:r>
      <w:r w:rsidR="00BE4698">
        <w:t>nutrition</w:t>
      </w:r>
      <w:r w:rsidR="00D85BB5">
        <w:t xml:space="preserve"> status</w:t>
      </w:r>
      <w:r w:rsidR="00571D69">
        <w:t xml:space="preserve">. </w:t>
      </w:r>
      <w:r>
        <w:t xml:space="preserve"> </w:t>
      </w:r>
      <w:r w:rsidR="00E64FF7">
        <w:t>P</w:t>
      </w:r>
      <w:r w:rsidR="00571D69">
        <w:t>sychos</w:t>
      </w:r>
      <w:r w:rsidR="00D073B1" w:rsidRPr="00153F47">
        <w:t xml:space="preserve">ocial </w:t>
      </w:r>
      <w:r w:rsidR="00242786">
        <w:t xml:space="preserve">risk </w:t>
      </w:r>
      <w:r w:rsidR="00D073B1" w:rsidRPr="00153F47">
        <w:t>factors</w:t>
      </w:r>
      <w:r w:rsidR="005A6D5F">
        <w:t xml:space="preserve"> for malnutrition</w:t>
      </w:r>
      <w:r w:rsidR="00D073B1" w:rsidRPr="00153F47">
        <w:t xml:space="preserve"> include</w:t>
      </w:r>
      <w:r w:rsidR="00571D69">
        <w:t xml:space="preserve"> cognitive impairment, depression,</w:t>
      </w:r>
      <w:r w:rsidR="00D073B1" w:rsidRPr="00153F47">
        <w:t xml:space="preserve"> isolation and difficulty accessing food.  </w:t>
      </w:r>
      <w:r>
        <w:t>People</w:t>
      </w:r>
      <w:r w:rsidR="00D53129">
        <w:t xml:space="preserve"> can become</w:t>
      </w:r>
      <w:r w:rsidR="00D073B1" w:rsidRPr="00153F47">
        <w:t xml:space="preserve"> malnourished</w:t>
      </w:r>
      <w:r w:rsidR="00D53129">
        <w:t xml:space="preserve"> whether they are underweight, overweight</w:t>
      </w:r>
      <w:r>
        <w:t>,</w:t>
      </w:r>
      <w:r w:rsidR="00D53129">
        <w:t xml:space="preserve"> or obese and experience</w:t>
      </w:r>
      <w:r>
        <w:t xml:space="preserve"> the resulting</w:t>
      </w:r>
      <w:r w:rsidR="00D53129">
        <w:t xml:space="preserve"> </w:t>
      </w:r>
      <w:r w:rsidR="00D073B1" w:rsidRPr="00153F47">
        <w:t>adverse effects on their he</w:t>
      </w:r>
      <w:r w:rsidR="00D53129">
        <w:t>alth, function and well-being.</w:t>
      </w:r>
      <w:r w:rsidR="00D073B1" w:rsidRPr="00153F47">
        <w:t xml:space="preserve"> </w:t>
      </w:r>
    </w:p>
    <w:p w:rsidR="00BD76EC" w:rsidRPr="00153F47" w:rsidRDefault="000503AB" w:rsidP="003F2746">
      <w:pPr>
        <w:spacing w:line="240" w:lineRule="auto"/>
      </w:pPr>
      <w:r w:rsidRPr="00153F47">
        <w:lastRenderedPageBreak/>
        <w:t>P</w:t>
      </w:r>
      <w:r w:rsidR="004166A1" w:rsidRPr="00153F47">
        <w:t>hysiological</w:t>
      </w:r>
      <w:r w:rsidR="004F2613">
        <w:t xml:space="preserve"> and physical</w:t>
      </w:r>
      <w:r w:rsidR="004166A1" w:rsidRPr="00153F47">
        <w:t xml:space="preserve"> changes </w:t>
      </w:r>
      <w:r w:rsidRPr="00153F47">
        <w:t xml:space="preserve">associated with aging </w:t>
      </w:r>
      <w:r w:rsidR="00A6185E" w:rsidRPr="00153F47">
        <w:t>include: lower energy requirem</w:t>
      </w:r>
      <w:r w:rsidR="00F22592">
        <w:t>ents due to a slower metabolism</w:t>
      </w:r>
      <w:r w:rsidR="00A6185E" w:rsidRPr="00153F47">
        <w:t xml:space="preserve"> </w:t>
      </w:r>
      <w:r w:rsidR="006A2B63" w:rsidRPr="00153F47">
        <w:t>and</w:t>
      </w:r>
      <w:r w:rsidR="00C44A1D">
        <w:t>, sometimes</w:t>
      </w:r>
      <w:r w:rsidR="00F22592">
        <w:t xml:space="preserve"> malabsorption</w:t>
      </w:r>
      <w:r w:rsidR="00F30352">
        <w:t>,</w:t>
      </w:r>
      <w:r w:rsidR="00F30352">
        <w:rPr>
          <w:rStyle w:val="FootnoteReference"/>
        </w:rPr>
        <w:footnoteReference w:id="1"/>
      </w:r>
      <w:r w:rsidR="00F22592">
        <w:t xml:space="preserve"> which </w:t>
      </w:r>
      <w:r w:rsidR="00F30352">
        <w:t xml:space="preserve">causes </w:t>
      </w:r>
      <w:r w:rsidR="00A6185E" w:rsidRPr="00153F47">
        <w:t xml:space="preserve">less efficient use of many nutrients. Many older adults </w:t>
      </w:r>
      <w:r w:rsidR="00E3610B" w:rsidRPr="00153F47">
        <w:t xml:space="preserve">experience loss of </w:t>
      </w:r>
      <w:r w:rsidR="00A6185E" w:rsidRPr="00153F47">
        <w:t>appetite, changes i</w:t>
      </w:r>
      <w:r w:rsidR="002E35E4">
        <w:t>n taste and smell, problems</w:t>
      </w:r>
      <w:r w:rsidR="003724F9">
        <w:t xml:space="preserve"> with </w:t>
      </w:r>
      <w:r w:rsidR="00A6185E" w:rsidRPr="00153F47">
        <w:t>eating</w:t>
      </w:r>
      <w:r w:rsidR="00D9279E">
        <w:t xml:space="preserve"> (e.g., chewing and swallowing)</w:t>
      </w:r>
      <w:r w:rsidR="00A6185E" w:rsidRPr="00153F47">
        <w:t xml:space="preserve">, </w:t>
      </w:r>
      <w:r w:rsidR="00026128">
        <w:t xml:space="preserve">and </w:t>
      </w:r>
      <w:r w:rsidR="00E3610B" w:rsidRPr="00153F47">
        <w:t>oral health problems</w:t>
      </w:r>
      <w:r w:rsidR="00A6185E" w:rsidRPr="00153F47">
        <w:t>,</w:t>
      </w:r>
      <w:r w:rsidRPr="00153F47">
        <w:rPr>
          <w:rStyle w:val="FootnoteReference"/>
        </w:rPr>
        <w:footnoteReference w:id="2"/>
      </w:r>
      <w:r w:rsidR="00E3610B" w:rsidRPr="00153F47">
        <w:t xml:space="preserve"> that </w:t>
      </w:r>
      <w:r w:rsidR="004F2613">
        <w:t xml:space="preserve">can </w:t>
      </w:r>
      <w:r w:rsidR="00E3610B" w:rsidRPr="00153F47">
        <w:t>affect nutrition</w:t>
      </w:r>
      <w:r w:rsidR="00242786">
        <w:t xml:space="preserve"> (NASEM/HMD</w:t>
      </w:r>
      <w:r w:rsidR="00082AE6">
        <w:t>, 2016</w:t>
      </w:r>
      <w:r w:rsidR="00A6185E" w:rsidRPr="00153F47">
        <w:t>)</w:t>
      </w:r>
      <w:r w:rsidR="00E631CF" w:rsidRPr="00153F47">
        <w:t xml:space="preserve">. </w:t>
      </w:r>
      <w:r w:rsidR="00C96C68" w:rsidRPr="00153F47">
        <w:t xml:space="preserve"> As adults age, they</w:t>
      </w:r>
      <w:r w:rsidR="00D9279E">
        <w:t xml:space="preserve"> may be</w:t>
      </w:r>
      <w:r w:rsidR="006634E1" w:rsidRPr="00153F47">
        <w:t xml:space="preserve"> more quickly satisfied when they eat and </w:t>
      </w:r>
      <w:r w:rsidR="00C96C68" w:rsidRPr="00153F47">
        <w:t xml:space="preserve">have less ability to smell food, which also affects their appetite (Nieuwenhuizen et al., 2010). </w:t>
      </w:r>
      <w:r w:rsidR="00E631CF" w:rsidRPr="00153F47">
        <w:t xml:space="preserve"> In addition, o</w:t>
      </w:r>
      <w:r w:rsidR="00BD76EC" w:rsidRPr="00153F47">
        <w:t>lder adults tend to consume smaller portions of food as they age (Silver, 2009)</w:t>
      </w:r>
      <w:r w:rsidR="00E631CF" w:rsidRPr="00153F47">
        <w:t>.</w:t>
      </w:r>
      <w:r w:rsidR="006634E1" w:rsidRPr="00153F47">
        <w:t xml:space="preserve"> </w:t>
      </w:r>
      <w:r w:rsidR="002E35E4">
        <w:t>Other physical factors</w:t>
      </w:r>
      <w:r w:rsidR="00026128">
        <w:t>, such as</w:t>
      </w:r>
      <w:r w:rsidR="002E35E4" w:rsidRPr="00153F47">
        <w:t xml:space="preserve"> </w:t>
      </w:r>
      <w:r w:rsidR="002E35E4">
        <w:t xml:space="preserve">impaired </w:t>
      </w:r>
      <w:r w:rsidR="002E35E4" w:rsidRPr="00153F47">
        <w:t>mobility</w:t>
      </w:r>
      <w:r w:rsidR="002E35E4">
        <w:t xml:space="preserve"> and vision can affect nutrition.</w:t>
      </w:r>
      <w:r w:rsidR="002E35E4" w:rsidRPr="002E35E4">
        <w:t xml:space="preserve"> </w:t>
      </w:r>
      <w:r w:rsidR="002E35E4" w:rsidRPr="00153F47">
        <w:t xml:space="preserve">For example, older adults often have difficulty opening, reading and using packages. </w:t>
      </w:r>
      <w:r w:rsidR="0002577A">
        <w:t xml:space="preserve"> </w:t>
      </w:r>
      <w:r w:rsidR="002E35E4" w:rsidRPr="00153F47">
        <w:t>Not all are mobi</w:t>
      </w:r>
      <w:r w:rsidR="002E35E4">
        <w:t>le enough to shop for food (NASEM/HMD</w:t>
      </w:r>
      <w:r w:rsidR="00082AE6">
        <w:t>, 2016</w:t>
      </w:r>
      <w:r w:rsidR="002E35E4">
        <w:t xml:space="preserve">). </w:t>
      </w:r>
      <w:r w:rsidR="002E35E4" w:rsidRPr="00153F47">
        <w:t xml:space="preserve"> </w:t>
      </w:r>
    </w:p>
    <w:p w:rsidR="004166A1" w:rsidRPr="00153F47" w:rsidRDefault="00242786" w:rsidP="003F2746">
      <w:pPr>
        <w:spacing w:line="240" w:lineRule="auto"/>
      </w:pPr>
      <w:r>
        <w:t>Another complication is that m</w:t>
      </w:r>
      <w:r w:rsidR="006A2B63" w:rsidRPr="00153F47">
        <w:t>ost older adults have at least one chronic condition</w:t>
      </w:r>
      <w:r w:rsidR="002A07BC" w:rsidRPr="00153F47">
        <w:t xml:space="preserve"> </w:t>
      </w:r>
      <w:r w:rsidR="004475C5" w:rsidRPr="00153F47">
        <w:t xml:space="preserve">or take medications </w:t>
      </w:r>
      <w:r w:rsidR="002A07BC" w:rsidRPr="00153F47">
        <w:t xml:space="preserve">that </w:t>
      </w:r>
      <w:r w:rsidR="004475C5" w:rsidRPr="00153F47">
        <w:t>can cause problems</w:t>
      </w:r>
      <w:r w:rsidR="004166A1" w:rsidRPr="00153F47">
        <w:t>.  Medical factors in</w:t>
      </w:r>
      <w:r w:rsidR="00F30352">
        <w:t xml:space="preserve">clude gastrointestinal disease, </w:t>
      </w:r>
      <w:r w:rsidR="003F46EC">
        <w:t xml:space="preserve">and a number of </w:t>
      </w:r>
      <w:r w:rsidR="00F30352">
        <w:t xml:space="preserve">other </w:t>
      </w:r>
      <w:r w:rsidR="003F46EC">
        <w:t>diseases</w:t>
      </w:r>
      <w:r w:rsidR="004166A1" w:rsidRPr="00153F47">
        <w:t>.  Additional risk factors include certain medications, which can cause malabsorption</w:t>
      </w:r>
      <w:r w:rsidR="006A2B63" w:rsidRPr="00153F47">
        <w:t xml:space="preserve"> of nutrients</w:t>
      </w:r>
      <w:r w:rsidR="004166A1" w:rsidRPr="00153F47">
        <w:t>, gastrointesti</w:t>
      </w:r>
      <w:r w:rsidR="00C96C68" w:rsidRPr="00153F47">
        <w:t>nal symptoms, and appetite loss</w:t>
      </w:r>
      <w:r w:rsidR="004166A1" w:rsidRPr="00153F47">
        <w:t xml:space="preserve"> (Soenen and Chapman, 2013)</w:t>
      </w:r>
      <w:r w:rsidR="00C96C68" w:rsidRPr="00153F47">
        <w:t>.</w:t>
      </w:r>
    </w:p>
    <w:p w:rsidR="000B7A6E" w:rsidRPr="00153F47" w:rsidRDefault="004F2613" w:rsidP="000B7A6E">
      <w:pPr>
        <w:spacing w:line="240" w:lineRule="auto"/>
      </w:pPr>
      <w:r>
        <w:t>P</w:t>
      </w:r>
      <w:r w:rsidR="00571D69">
        <w:t>sycho</w:t>
      </w:r>
      <w:r w:rsidR="00C96C68" w:rsidRPr="00153F47">
        <w:t>social factors</w:t>
      </w:r>
      <w:r>
        <w:t xml:space="preserve"> can</w:t>
      </w:r>
      <w:r w:rsidR="00C96C68" w:rsidRPr="00153F47">
        <w:t xml:space="preserve"> contribute to decreased food intake. </w:t>
      </w:r>
      <w:r>
        <w:t xml:space="preserve"> These </w:t>
      </w:r>
      <w:r w:rsidR="00C96C68" w:rsidRPr="00153F47">
        <w:t>include</w:t>
      </w:r>
      <w:r w:rsidR="00B3055B" w:rsidRPr="00153F47">
        <w:t xml:space="preserve">: </w:t>
      </w:r>
      <w:r w:rsidR="00026128">
        <w:t>cognitive impairment</w:t>
      </w:r>
      <w:r w:rsidR="003F46EC">
        <w:t xml:space="preserve"> (problems with thinking, learning, and remembering);</w:t>
      </w:r>
      <w:r w:rsidR="00026128">
        <w:t xml:space="preserve"> dementia</w:t>
      </w:r>
      <w:r w:rsidR="003F46EC">
        <w:t>, which causes cognitive problems;</w:t>
      </w:r>
      <w:r w:rsidR="00026128">
        <w:t xml:space="preserve"> </w:t>
      </w:r>
      <w:r w:rsidR="000B7A6E">
        <w:t xml:space="preserve">and </w:t>
      </w:r>
      <w:r w:rsidR="00571D69">
        <w:t>depression</w:t>
      </w:r>
      <w:r w:rsidR="000B7A6E">
        <w:t>.  People who have cognitive impairments or depression may not be able to organize a meal, remember to eat, or want to eat because of their conditions.  For example, p</w:t>
      </w:r>
      <w:r w:rsidR="000B7A6E" w:rsidRPr="00153F47">
        <w:t>eople with dementia are more likely to be malnourished than age-matched controls without the condition (44</w:t>
      </w:r>
      <w:r w:rsidR="000B7A6E">
        <w:t>% vs 25%) and w</w:t>
      </w:r>
      <w:r w:rsidR="000B7A6E" w:rsidRPr="00153F47">
        <w:t xml:space="preserve">eight loss increases with severity of dementia. </w:t>
      </w:r>
      <w:r w:rsidR="0002577A">
        <w:t xml:space="preserve"> </w:t>
      </w:r>
      <w:r w:rsidR="000B7A6E" w:rsidRPr="00153F47">
        <w:t xml:space="preserve">Progressive dementias can result in loss of ability to feed oneself and the presence of poor eating behavior, such as spitting food out. People with </w:t>
      </w:r>
      <w:r w:rsidR="00F30352">
        <w:t xml:space="preserve">more advanced </w:t>
      </w:r>
      <w:r w:rsidR="000B7A6E" w:rsidRPr="00153F47">
        <w:t xml:space="preserve">dementia have </w:t>
      </w:r>
      <w:r w:rsidR="000B7A6E">
        <w:t xml:space="preserve">a </w:t>
      </w:r>
      <w:r w:rsidR="000B7A6E" w:rsidRPr="00153F47">
        <w:t>high risk of difficulty swallowing and of aspirating food and liquids (Allen et al</w:t>
      </w:r>
      <w:r w:rsidR="00E21135">
        <w:t>.</w:t>
      </w:r>
      <w:r w:rsidR="000B7A6E" w:rsidRPr="00153F47">
        <w:t>, 2013).</w:t>
      </w:r>
    </w:p>
    <w:p w:rsidR="004F2613" w:rsidRDefault="003724F9" w:rsidP="003F2746">
      <w:pPr>
        <w:spacing w:line="240" w:lineRule="auto"/>
      </w:pPr>
      <w:r>
        <w:t>Additional</w:t>
      </w:r>
      <w:r w:rsidR="000B7A6E">
        <w:t xml:space="preserve"> psychosocial factors include l</w:t>
      </w:r>
      <w:r w:rsidR="003F46EC">
        <w:t xml:space="preserve">iving alone, </w:t>
      </w:r>
      <w:r w:rsidR="00B3055B" w:rsidRPr="00153F47">
        <w:t>social isolation</w:t>
      </w:r>
      <w:r w:rsidR="00026128">
        <w:t>, and poverty</w:t>
      </w:r>
      <w:r w:rsidR="004166A1" w:rsidRPr="00153F47">
        <w:t xml:space="preserve"> (Soenen and Chapman, 2013)</w:t>
      </w:r>
      <w:r w:rsidR="00C96C68" w:rsidRPr="00153F47">
        <w:t xml:space="preserve">. </w:t>
      </w:r>
      <w:r w:rsidR="00026128">
        <w:t xml:space="preserve"> Isolati</w:t>
      </w:r>
      <w:r w:rsidR="003F46EC">
        <w:t>on can contribute to malnutrition</w:t>
      </w:r>
      <w:r w:rsidR="00026128">
        <w:t xml:space="preserve"> because older adults who need help may not have anyone to assist them with their meals, medications, and health conditions. </w:t>
      </w:r>
      <w:r w:rsidR="0062439C">
        <w:t xml:space="preserve"> </w:t>
      </w:r>
      <w:r w:rsidR="00026128">
        <w:t>Poverty and low income means</w:t>
      </w:r>
      <w:r w:rsidR="003F46EC">
        <w:t xml:space="preserve"> a person’s</w:t>
      </w:r>
      <w:r w:rsidR="0062439C">
        <w:t xml:space="preserve"> financial</w:t>
      </w:r>
      <w:r w:rsidR="00026128">
        <w:t xml:space="preserve"> ability to obtain food may be severely limi</w:t>
      </w:r>
      <w:r w:rsidR="00C44A1D">
        <w:t>ted without assistance</w:t>
      </w:r>
      <w:r w:rsidR="0062439C">
        <w:t>.</w:t>
      </w:r>
    </w:p>
    <w:p w:rsidR="00124763" w:rsidRPr="009A1159" w:rsidRDefault="009A1159" w:rsidP="009A1159">
      <w:pPr>
        <w:pStyle w:val="Heading1"/>
        <w:ind w:left="720"/>
        <w:rPr>
          <w:rFonts w:asciiTheme="minorHAnsi" w:hAnsiTheme="minorHAnsi"/>
          <w:color w:val="auto"/>
          <w:sz w:val="22"/>
          <w:szCs w:val="22"/>
        </w:rPr>
      </w:pPr>
      <w:r>
        <w:rPr>
          <w:rFonts w:asciiTheme="minorHAnsi" w:hAnsiTheme="minorHAnsi"/>
          <w:color w:val="auto"/>
          <w:sz w:val="22"/>
          <w:szCs w:val="22"/>
        </w:rPr>
        <w:t>2.b</w:t>
      </w:r>
      <w:r w:rsidR="00443AA8">
        <w:rPr>
          <w:rFonts w:asciiTheme="minorHAnsi" w:hAnsiTheme="minorHAnsi"/>
          <w:color w:val="auto"/>
          <w:sz w:val="22"/>
          <w:szCs w:val="22"/>
        </w:rPr>
        <w:t>.</w:t>
      </w:r>
      <w:r w:rsidR="008E31ED" w:rsidRPr="009A1159">
        <w:rPr>
          <w:rFonts w:asciiTheme="minorHAnsi" w:hAnsiTheme="minorHAnsi"/>
          <w:color w:val="auto"/>
          <w:sz w:val="22"/>
          <w:szCs w:val="22"/>
        </w:rPr>
        <w:t xml:space="preserve"> </w:t>
      </w:r>
      <w:r w:rsidR="006634E1" w:rsidRPr="009A1159">
        <w:rPr>
          <w:rFonts w:asciiTheme="minorHAnsi" w:hAnsiTheme="minorHAnsi"/>
          <w:color w:val="auto"/>
          <w:sz w:val="22"/>
          <w:szCs w:val="22"/>
        </w:rPr>
        <w:t>Malnutrition</w:t>
      </w:r>
    </w:p>
    <w:p w:rsidR="00AA3D02" w:rsidRPr="00153F47" w:rsidRDefault="003B5579" w:rsidP="003F2746">
      <w:pPr>
        <w:spacing w:line="240" w:lineRule="auto"/>
      </w:pPr>
      <w:r w:rsidRPr="00153F47">
        <w:t xml:space="preserve">As a result of </w:t>
      </w:r>
      <w:r w:rsidR="001F35DB">
        <w:t>these</w:t>
      </w:r>
      <w:r w:rsidRPr="00153F47">
        <w:t xml:space="preserve"> physiological,</w:t>
      </w:r>
      <w:r>
        <w:t xml:space="preserve"> physical,</w:t>
      </w:r>
      <w:r w:rsidRPr="00153F47">
        <w:t xml:space="preserve"> health, and</w:t>
      </w:r>
      <w:r>
        <w:t xml:space="preserve"> psycho</w:t>
      </w:r>
      <w:r w:rsidR="001066CD">
        <w:t>social factors, studies document</w:t>
      </w:r>
      <w:r w:rsidRPr="00153F47">
        <w:t xml:space="preserve"> a 30% decrease in food intake in healthy, community dwelling adults between the ages of 20 and 80 (Soenen and Chapman, 2013</w:t>
      </w:r>
      <w:r w:rsidR="001066CD">
        <w:t xml:space="preserve">).  </w:t>
      </w:r>
      <w:r w:rsidR="005F57F7">
        <w:t>In addition, m</w:t>
      </w:r>
      <w:r w:rsidR="002525BC">
        <w:t xml:space="preserve">any studies document undernutrition among older adults in developed countries, including the U.S.  </w:t>
      </w:r>
      <w:r w:rsidR="00DF7300" w:rsidRPr="00153F47">
        <w:t>One</w:t>
      </w:r>
      <w:r w:rsidR="00AB79CC" w:rsidRPr="00153F47">
        <w:t xml:space="preserve"> literature review</w:t>
      </w:r>
      <w:r w:rsidR="00DF7300" w:rsidRPr="00153F47">
        <w:t xml:space="preserve"> </w:t>
      </w:r>
      <w:r w:rsidR="001F35DB">
        <w:t>stated that</w:t>
      </w:r>
      <w:r w:rsidR="00DF7300" w:rsidRPr="00153F47">
        <w:t xml:space="preserve"> </w:t>
      </w:r>
      <w:r w:rsidR="001066CD">
        <w:t xml:space="preserve">up to 15% of community-dwelling </w:t>
      </w:r>
      <w:r w:rsidR="002525BC">
        <w:t>older adults</w:t>
      </w:r>
      <w:r w:rsidR="00A64929" w:rsidRPr="00153F47">
        <w:t xml:space="preserve"> </w:t>
      </w:r>
      <w:r w:rsidR="002525BC">
        <w:t xml:space="preserve">and </w:t>
      </w:r>
      <w:r w:rsidR="00A64929" w:rsidRPr="00153F47">
        <w:t>23</w:t>
      </w:r>
      <w:r w:rsidR="00130C2E">
        <w:t>%</w:t>
      </w:r>
      <w:r w:rsidR="00A64929" w:rsidRPr="00153F47">
        <w:t xml:space="preserve"> to 62% of hospitalized older patients </w:t>
      </w:r>
      <w:r w:rsidR="0075113A">
        <w:t xml:space="preserve">experience undernutrition </w:t>
      </w:r>
      <w:r w:rsidR="00A64929" w:rsidRPr="00153F47">
        <w:t>(Soenen and Chapman, 2013)</w:t>
      </w:r>
      <w:r w:rsidR="00DF7300" w:rsidRPr="00153F47">
        <w:t xml:space="preserve">.  </w:t>
      </w:r>
      <w:r w:rsidR="007067DC" w:rsidRPr="00153F47">
        <w:t xml:space="preserve">Two additional </w:t>
      </w:r>
      <w:r w:rsidR="00D200EA" w:rsidRPr="00153F47">
        <w:t xml:space="preserve">studies </w:t>
      </w:r>
      <w:r w:rsidR="007067DC" w:rsidRPr="00153F47">
        <w:t xml:space="preserve">support the conclusion that </w:t>
      </w:r>
      <w:r w:rsidR="00BE4698">
        <w:t>nutrition</w:t>
      </w:r>
      <w:r w:rsidR="007067DC" w:rsidRPr="00153F47">
        <w:t xml:space="preserve"> inad</w:t>
      </w:r>
      <w:r w:rsidR="00AB79CC" w:rsidRPr="00153F47">
        <w:t xml:space="preserve">equacy is a major </w:t>
      </w:r>
      <w:r w:rsidR="007067DC" w:rsidRPr="00153F47">
        <w:t xml:space="preserve">problem among older </w:t>
      </w:r>
      <w:r w:rsidR="008A0DD9">
        <w:t>adults (</w:t>
      </w:r>
      <w:r w:rsidR="008808BA" w:rsidRPr="00153F47">
        <w:t>Kaiser et al</w:t>
      </w:r>
      <w:r w:rsidR="00E21135">
        <w:t>.</w:t>
      </w:r>
      <w:r w:rsidR="008808BA" w:rsidRPr="00153F47">
        <w:t>, 2010</w:t>
      </w:r>
      <w:r w:rsidR="007067DC" w:rsidRPr="00153F47">
        <w:t xml:space="preserve">; </w:t>
      </w:r>
      <w:r w:rsidR="0055639B" w:rsidRPr="00153F47">
        <w:t>Agarwal et al</w:t>
      </w:r>
      <w:r w:rsidR="00E21135">
        <w:t>.</w:t>
      </w:r>
      <w:r w:rsidR="0055639B" w:rsidRPr="00153F47">
        <w:t>, 2013)</w:t>
      </w:r>
      <w:r w:rsidR="007067DC" w:rsidRPr="00153F47">
        <w:t>.</w:t>
      </w:r>
      <w:r w:rsidR="008A0DD9">
        <w:t xml:space="preserve"> </w:t>
      </w:r>
      <w:r w:rsidR="007067DC" w:rsidRPr="00153F47">
        <w:t xml:space="preserve">Those at greatest risk of undernutrition are older women, minorities, </w:t>
      </w:r>
      <w:r w:rsidR="002A07BC" w:rsidRPr="00153F47">
        <w:t xml:space="preserve">and </w:t>
      </w:r>
      <w:r w:rsidR="001066CD">
        <w:t>people who are poor or live in rural areas.</w:t>
      </w:r>
      <w:r w:rsidR="00E03DF4">
        <w:t xml:space="preserve"> </w:t>
      </w:r>
      <w:r w:rsidR="007067DC" w:rsidRPr="00153F47">
        <w:t xml:space="preserve"> Being age 75+ is an independent risk factor for poor nutrition (Silver, 2009). </w:t>
      </w:r>
    </w:p>
    <w:p w:rsidR="00AB79CC" w:rsidRDefault="00C44A1D" w:rsidP="003F2746">
      <w:pPr>
        <w:spacing w:line="240" w:lineRule="auto"/>
      </w:pPr>
      <w:r>
        <w:t>Overweight or o</w:t>
      </w:r>
      <w:r w:rsidR="00BC4750">
        <w:t xml:space="preserve">bese </w:t>
      </w:r>
      <w:r w:rsidR="00AA3D02" w:rsidRPr="00153F47">
        <w:t>older adults</w:t>
      </w:r>
      <w:r w:rsidR="0075113A">
        <w:t xml:space="preserve"> may also experience </w:t>
      </w:r>
      <w:r w:rsidR="00105F4E">
        <w:t>mal</w:t>
      </w:r>
      <w:r w:rsidR="0075113A">
        <w:t xml:space="preserve">nutrition </w:t>
      </w:r>
      <w:r w:rsidR="00AA3D02" w:rsidRPr="00153F47">
        <w:t>when their diet is of poor quality</w:t>
      </w:r>
      <w:r w:rsidR="004726E7">
        <w:t xml:space="preserve"> (Porter Starr et al.</w:t>
      </w:r>
      <w:r w:rsidR="00A8007F">
        <w:t>, 2016</w:t>
      </w:r>
      <w:r w:rsidR="001F35DB">
        <w:t>)</w:t>
      </w:r>
      <w:r w:rsidR="00AA3D02" w:rsidRPr="00153F47">
        <w:t>.</w:t>
      </w:r>
      <w:r w:rsidR="00105F4E">
        <w:t xml:space="preserve"> This means that they take in enough calories but are missing important </w:t>
      </w:r>
      <w:r w:rsidR="00105F4E">
        <w:lastRenderedPageBreak/>
        <w:t xml:space="preserve">nutrients that affect their </w:t>
      </w:r>
      <w:r w:rsidR="00BE4698">
        <w:t>nutrition</w:t>
      </w:r>
      <w:r w:rsidR="00105F4E">
        <w:t xml:space="preserve"> status.  </w:t>
      </w:r>
      <w:r w:rsidR="00B32A77" w:rsidRPr="00B32A77">
        <w:t xml:space="preserve">So, weight alone is not an indicator of </w:t>
      </w:r>
      <w:r w:rsidR="00BE4698">
        <w:t>nutrition</w:t>
      </w:r>
      <w:r w:rsidR="00B32A77" w:rsidRPr="00B32A77">
        <w:t xml:space="preserve"> status.  </w:t>
      </w:r>
      <w:r w:rsidR="00AA3D02" w:rsidRPr="00153F47">
        <w:t xml:space="preserve"> </w:t>
      </w:r>
      <w:r w:rsidR="00E94688" w:rsidRPr="00153F47">
        <w:t>N</w:t>
      </w:r>
      <w:r w:rsidR="00AB79CC" w:rsidRPr="00153F47">
        <w:t xml:space="preserve">ational statistics </w:t>
      </w:r>
      <w:r w:rsidR="00E94688" w:rsidRPr="00153F47">
        <w:t>show that 41% of women age</w:t>
      </w:r>
      <w:r w:rsidR="00AB79CC" w:rsidRPr="00153F47">
        <w:t xml:space="preserve"> 65-74 and 31% of</w:t>
      </w:r>
      <w:r w:rsidR="00E94688" w:rsidRPr="00153F47">
        <w:t xml:space="preserve"> those age</w:t>
      </w:r>
      <w:r w:rsidR="00AB79CC" w:rsidRPr="00153F47">
        <w:t xml:space="preserve"> 75</w:t>
      </w:r>
      <w:r w:rsidR="00E94688" w:rsidRPr="00153F47">
        <w:t xml:space="preserve"> and over</w:t>
      </w:r>
      <w:r w:rsidR="008A0DD9">
        <w:t xml:space="preserve"> are obese</w:t>
      </w:r>
      <w:r w:rsidR="00E94688" w:rsidRPr="00153F47">
        <w:t xml:space="preserve">.  </w:t>
      </w:r>
      <w:r w:rsidR="005F57F7">
        <w:t>The percentages for men in</w:t>
      </w:r>
      <w:r w:rsidR="008A0DD9">
        <w:t xml:space="preserve"> the same age</w:t>
      </w:r>
      <w:r w:rsidR="005F57F7">
        <w:t xml:space="preserve"> group</w:t>
      </w:r>
      <w:r w:rsidR="008A0DD9">
        <w:t>s are 24%</w:t>
      </w:r>
      <w:r w:rsidR="00E94688" w:rsidRPr="00153F47">
        <w:t xml:space="preserve"> </w:t>
      </w:r>
      <w:r w:rsidR="00AB79CC" w:rsidRPr="00153F47">
        <w:t xml:space="preserve">and 13% </w:t>
      </w:r>
      <w:r w:rsidR="00E94688" w:rsidRPr="00153F47">
        <w:t>respectively</w:t>
      </w:r>
      <w:r w:rsidR="00AB79CC" w:rsidRPr="00153F47">
        <w:t>.  [</w:t>
      </w:r>
      <w:r w:rsidR="00E31BB8" w:rsidRPr="00153F47">
        <w:t>Federal Interagency F</w:t>
      </w:r>
      <w:r w:rsidR="00371F37">
        <w:t>orum on Aging Statistic</w:t>
      </w:r>
      <w:r w:rsidR="001F35DB">
        <w:t>s, 2016</w:t>
      </w:r>
      <w:r w:rsidR="00BC4750">
        <w:t>).</w:t>
      </w:r>
      <w:r w:rsidR="00AB79CC" w:rsidRPr="00153F47">
        <w:t xml:space="preserve">  </w:t>
      </w:r>
    </w:p>
    <w:p w:rsidR="003B5579" w:rsidRPr="00153F47" w:rsidRDefault="003B5579" w:rsidP="003B5579">
      <w:pPr>
        <w:spacing w:line="240" w:lineRule="auto"/>
      </w:pPr>
      <w:r w:rsidRPr="00153F47">
        <w:t xml:space="preserve">Preventing or treating </w:t>
      </w:r>
      <w:r w:rsidR="00BE4698">
        <w:t>nutrition</w:t>
      </w:r>
      <w:r w:rsidRPr="00153F47">
        <w:t xml:space="preserve"> problems</w:t>
      </w:r>
      <w:r w:rsidR="009B7D35">
        <w:t xml:space="preserve"> may improve older adults’ health and well-being. </w:t>
      </w:r>
      <w:r w:rsidR="00371F37">
        <w:t xml:space="preserve"> </w:t>
      </w:r>
      <w:r w:rsidR="009B7D35">
        <w:t>A</w:t>
      </w:r>
      <w:r w:rsidRPr="00153F47">
        <w:t xml:space="preserve"> review and meta-analysis of observational data show that mental and physical qu</w:t>
      </w:r>
      <w:r>
        <w:t>ality of life is better for</w:t>
      </w:r>
      <w:r w:rsidRPr="00153F47">
        <w:t xml:space="preserve"> older adults who are well-nourished (Rasheed and Woods, 2013).  For example, a study of Medicare home health beneficiaries found that 63% were</w:t>
      </w:r>
      <w:r>
        <w:t xml:space="preserve"> malnourished or at risk of it</w:t>
      </w:r>
      <w:r w:rsidRPr="00153F47">
        <w:t xml:space="preserve">. </w:t>
      </w:r>
      <w:r w:rsidR="001F35DB">
        <w:t xml:space="preserve"> </w:t>
      </w:r>
      <w:r w:rsidRPr="00153F47">
        <w:t>Controlling for basic demographics and comorbidities, undernutrition was associated with higher rates of hospitalization, emergency department use, home health aide use, mortality at 6 months</w:t>
      </w:r>
      <w:r w:rsidR="00274D30">
        <w:t>,</w:t>
      </w:r>
      <w:r w:rsidRPr="00153F47">
        <w:t xml:space="preserve"> and with hospitalization and nursing home use at 1 year (Yang et al., 2011).</w:t>
      </w:r>
      <w:r w:rsidR="009B7D35" w:rsidRPr="009B7D35">
        <w:t xml:space="preserve">  Randomized-controlled trials show that </w:t>
      </w:r>
      <w:r w:rsidR="00BE4698">
        <w:t>nutrition</w:t>
      </w:r>
      <w:r w:rsidR="009B7D35" w:rsidRPr="009B7D35">
        <w:t xml:space="preserve"> interventions</w:t>
      </w:r>
      <w:r w:rsidR="009B7D35">
        <w:t xml:space="preserve"> may</w:t>
      </w:r>
      <w:r w:rsidR="009B7D35" w:rsidRPr="009B7D35">
        <w:t xml:space="preserve"> improve physical and mental </w:t>
      </w:r>
      <w:r w:rsidR="00371F37">
        <w:t xml:space="preserve">quality of life in older adults </w:t>
      </w:r>
      <w:r w:rsidR="009B7D35" w:rsidRPr="009B7D35">
        <w:t>(Rasheed and Woods, 2013).</w:t>
      </w:r>
    </w:p>
    <w:p w:rsidR="008334CE" w:rsidRPr="009A1159" w:rsidRDefault="009A1159" w:rsidP="009A1159">
      <w:pPr>
        <w:pStyle w:val="Heading1"/>
        <w:ind w:left="720"/>
        <w:rPr>
          <w:rFonts w:asciiTheme="minorHAnsi" w:hAnsiTheme="minorHAnsi"/>
          <w:color w:val="auto"/>
          <w:sz w:val="22"/>
          <w:szCs w:val="22"/>
        </w:rPr>
      </w:pPr>
      <w:r>
        <w:rPr>
          <w:rFonts w:asciiTheme="minorHAnsi" w:hAnsiTheme="minorHAnsi"/>
          <w:color w:val="auto"/>
          <w:sz w:val="22"/>
          <w:szCs w:val="22"/>
        </w:rPr>
        <w:t>2.c</w:t>
      </w:r>
      <w:r w:rsidR="00443AA8">
        <w:rPr>
          <w:rFonts w:asciiTheme="minorHAnsi" w:hAnsiTheme="minorHAnsi"/>
          <w:color w:val="auto"/>
          <w:sz w:val="22"/>
          <w:szCs w:val="22"/>
        </w:rPr>
        <w:t>.</w:t>
      </w:r>
      <w:r w:rsidR="008E31ED" w:rsidRPr="009A1159">
        <w:rPr>
          <w:rFonts w:asciiTheme="minorHAnsi" w:hAnsiTheme="minorHAnsi"/>
          <w:color w:val="auto"/>
          <w:sz w:val="22"/>
          <w:szCs w:val="22"/>
        </w:rPr>
        <w:t xml:space="preserve"> </w:t>
      </w:r>
      <w:r w:rsidR="00F9419E" w:rsidRPr="009A1159">
        <w:rPr>
          <w:rFonts w:asciiTheme="minorHAnsi" w:hAnsiTheme="minorHAnsi"/>
          <w:color w:val="auto"/>
          <w:sz w:val="22"/>
          <w:szCs w:val="22"/>
        </w:rPr>
        <w:t xml:space="preserve">Impact of </w:t>
      </w:r>
      <w:r w:rsidR="008559E5" w:rsidRPr="009A1159">
        <w:rPr>
          <w:rFonts w:asciiTheme="minorHAnsi" w:hAnsiTheme="minorHAnsi"/>
          <w:color w:val="auto"/>
          <w:sz w:val="22"/>
          <w:szCs w:val="22"/>
        </w:rPr>
        <w:t xml:space="preserve">Malnutrition and Undernutrition </w:t>
      </w:r>
      <w:r w:rsidR="00F9419E" w:rsidRPr="009A1159">
        <w:rPr>
          <w:rFonts w:asciiTheme="minorHAnsi" w:hAnsiTheme="minorHAnsi"/>
          <w:color w:val="auto"/>
          <w:sz w:val="22"/>
          <w:szCs w:val="22"/>
        </w:rPr>
        <w:t>on Older Adults</w:t>
      </w:r>
      <w:r w:rsidR="00BF77E6" w:rsidRPr="009A1159">
        <w:rPr>
          <w:rFonts w:asciiTheme="minorHAnsi" w:hAnsiTheme="minorHAnsi"/>
          <w:color w:val="auto"/>
          <w:sz w:val="22"/>
          <w:szCs w:val="22"/>
        </w:rPr>
        <w:t>’ Health</w:t>
      </w:r>
    </w:p>
    <w:p w:rsidR="0008445A" w:rsidRPr="00153F47" w:rsidRDefault="008560D3" w:rsidP="003F2746">
      <w:pPr>
        <w:spacing w:line="240" w:lineRule="auto"/>
      </w:pPr>
      <w:r w:rsidRPr="00153F47">
        <w:t>Those experiencing malnutrition</w:t>
      </w:r>
      <w:r w:rsidR="0037334D">
        <w:t xml:space="preserve"> of any type, including</w:t>
      </w:r>
      <w:r w:rsidRPr="00153F47">
        <w:t xml:space="preserve"> undernutrition</w:t>
      </w:r>
      <w:r w:rsidR="0037334D">
        <w:t>,</w:t>
      </w:r>
      <w:r w:rsidRPr="00153F47">
        <w:t xml:space="preserve"> are at risk of many hea</w:t>
      </w:r>
      <w:r w:rsidR="0037334D">
        <w:t>lth consequences.  M</w:t>
      </w:r>
      <w:r w:rsidR="00EA5BDB" w:rsidRPr="00153F47">
        <w:t xml:space="preserve">alnutrition can </w:t>
      </w:r>
      <w:r w:rsidR="0001320F">
        <w:t xml:space="preserve">impair </w:t>
      </w:r>
      <w:r w:rsidR="00EA5BDB" w:rsidRPr="00153F47">
        <w:t xml:space="preserve">bodily systems, </w:t>
      </w:r>
      <w:r w:rsidR="0001320F">
        <w:t xml:space="preserve">and function, which can result in even more harm </w:t>
      </w:r>
      <w:r w:rsidR="00EA5BDB" w:rsidRPr="00153F47">
        <w:t xml:space="preserve">(Agarwal et </w:t>
      </w:r>
      <w:r w:rsidR="000D4DBE">
        <w:t>al</w:t>
      </w:r>
      <w:r w:rsidR="00E21135">
        <w:t>.</w:t>
      </w:r>
      <w:r w:rsidR="000D4DBE">
        <w:t xml:space="preserve">, 2013).  </w:t>
      </w:r>
      <w:r w:rsidR="00FF3090">
        <w:t>U</w:t>
      </w:r>
      <w:r w:rsidR="00EA5BDB" w:rsidRPr="00153F47">
        <w:t xml:space="preserve">ndernutrition </w:t>
      </w:r>
      <w:r w:rsidR="00BF77E6" w:rsidRPr="00153F47">
        <w:t>is related to</w:t>
      </w:r>
      <w:r w:rsidR="00FF3090">
        <w:t xml:space="preserve"> many </w:t>
      </w:r>
      <w:r w:rsidR="004072BA">
        <w:t>outcomes i</w:t>
      </w:r>
      <w:r w:rsidR="0008445A" w:rsidRPr="00153F47">
        <w:t>ncluding</w:t>
      </w:r>
      <w:r w:rsidR="004072BA">
        <w:t>:</w:t>
      </w:r>
      <w:r w:rsidR="0077148C">
        <w:t xml:space="preserve"> </w:t>
      </w:r>
      <w:r w:rsidR="00BF77E6" w:rsidRPr="00153F47">
        <w:t xml:space="preserve">reduced cognition, </w:t>
      </w:r>
      <w:r w:rsidR="0008445A" w:rsidRPr="00153F47">
        <w:t>loss of lean body and skeletal mass, sarcopenia</w:t>
      </w:r>
      <w:r w:rsidR="00BF77E6" w:rsidRPr="00153F47">
        <w:t xml:space="preserve"> (low muscle mass</w:t>
      </w:r>
      <w:r w:rsidR="00D80FE6">
        <w:t xml:space="preserve"> associated with aging</w:t>
      </w:r>
      <w:r w:rsidR="00BF77E6" w:rsidRPr="00153F47">
        <w:t>)</w:t>
      </w:r>
      <w:r w:rsidR="0008445A" w:rsidRPr="00153F47">
        <w:t>, inflammatory stress, compromised immune function, susceptibility to infection, impaired ph</w:t>
      </w:r>
      <w:r w:rsidR="0037334D">
        <w:t>ysical function, depression,</w:t>
      </w:r>
      <w:r w:rsidR="0008445A" w:rsidRPr="00153F47">
        <w:t xml:space="preserve"> </w:t>
      </w:r>
      <w:r w:rsidR="00CB71C2">
        <w:t>increased dependence</w:t>
      </w:r>
      <w:r w:rsidR="00BF77E6" w:rsidRPr="00153F47">
        <w:t xml:space="preserve">, and </w:t>
      </w:r>
      <w:r w:rsidR="0008445A" w:rsidRPr="00153F47">
        <w:t>reduce</w:t>
      </w:r>
      <w:r w:rsidR="00BF77E6" w:rsidRPr="00153F47">
        <w:t xml:space="preserve">d quality of life </w:t>
      </w:r>
      <w:r w:rsidR="0008445A" w:rsidRPr="00153F47">
        <w:t>(</w:t>
      </w:r>
      <w:r w:rsidR="00BF77E6" w:rsidRPr="00153F47">
        <w:t xml:space="preserve">Visvanathan, 2014; </w:t>
      </w:r>
      <w:r w:rsidR="0008445A" w:rsidRPr="00153F47">
        <w:t>Silver, 2009)</w:t>
      </w:r>
      <w:r w:rsidR="00BF77E6" w:rsidRPr="00153F47">
        <w:t xml:space="preserve">.  </w:t>
      </w:r>
      <w:r w:rsidR="007004D5" w:rsidRPr="00153F47">
        <w:t>Undernutrition</w:t>
      </w:r>
      <w:r w:rsidR="00BF77E6" w:rsidRPr="00153F47">
        <w:t xml:space="preserve"> also </w:t>
      </w:r>
      <w:r w:rsidR="007004D5" w:rsidRPr="00153F47">
        <w:t>results</w:t>
      </w:r>
      <w:r w:rsidR="00BF77E6" w:rsidRPr="00153F47">
        <w:t xml:space="preserve"> in</w:t>
      </w:r>
      <w:r w:rsidR="007004D5" w:rsidRPr="00153F47">
        <w:t xml:space="preserve"> </w:t>
      </w:r>
      <w:r w:rsidR="00FF3090">
        <w:t xml:space="preserve">increased falls, </w:t>
      </w:r>
      <w:r w:rsidR="007004D5" w:rsidRPr="00153F47">
        <w:t xml:space="preserve">poor wound healing, delayed recovery from surgery, </w:t>
      </w:r>
      <w:r w:rsidR="002665D6">
        <w:t>increased</w:t>
      </w:r>
      <w:r w:rsidR="00FF3090">
        <w:t xml:space="preserve"> </w:t>
      </w:r>
      <w:r w:rsidR="000D4DBE">
        <w:t>hospital use</w:t>
      </w:r>
      <w:r w:rsidR="007004D5" w:rsidRPr="00153F47">
        <w:t>, premature institutionalizati</w:t>
      </w:r>
      <w:r w:rsidR="00FF3090">
        <w:t>on, and increased mortality</w:t>
      </w:r>
      <w:r w:rsidR="007004D5" w:rsidRPr="00153F47">
        <w:t xml:space="preserve"> (Visvanathan, 2014</w:t>
      </w:r>
      <w:r w:rsidR="00FF3090">
        <w:t xml:space="preserve">; </w:t>
      </w:r>
      <w:r w:rsidR="00355B68" w:rsidRPr="00153F47">
        <w:t>Tappenden et al., 2013).</w:t>
      </w:r>
      <w:r w:rsidR="00A65D0B" w:rsidRPr="00153F47">
        <w:t xml:space="preserve"> </w:t>
      </w:r>
      <w:r w:rsidR="00610E3F">
        <w:t xml:space="preserve"> </w:t>
      </w:r>
      <w:r w:rsidR="00A65D0B" w:rsidRPr="00153F47">
        <w:t>Despite these adverse outcomes</w:t>
      </w:r>
      <w:r w:rsidR="00EA5BDB" w:rsidRPr="00153F47">
        <w:t xml:space="preserve">, health care professionals diagnose </w:t>
      </w:r>
      <w:r w:rsidR="0039729E" w:rsidRPr="00153F47">
        <w:t xml:space="preserve">and treat </w:t>
      </w:r>
      <w:r w:rsidR="00EA5BDB" w:rsidRPr="00153F47">
        <w:t>undernutrition inconsistently (Silver, 2009).</w:t>
      </w:r>
    </w:p>
    <w:p w:rsidR="00BE128A" w:rsidRPr="00153F47" w:rsidRDefault="00BE128A" w:rsidP="00C5404F">
      <w:pPr>
        <w:pStyle w:val="Heading1"/>
        <w:numPr>
          <w:ilvl w:val="0"/>
          <w:numId w:val="29"/>
        </w:numPr>
        <w:rPr>
          <w:b w:val="0"/>
        </w:rPr>
      </w:pPr>
      <w:r w:rsidRPr="00C5404F">
        <w:rPr>
          <w:rFonts w:asciiTheme="minorHAnsi" w:hAnsiTheme="minorHAnsi"/>
          <w:color w:val="auto"/>
          <w:sz w:val="22"/>
          <w:szCs w:val="22"/>
        </w:rPr>
        <w:t xml:space="preserve">Interventions to Address </w:t>
      </w:r>
      <w:r w:rsidR="0037334D" w:rsidRPr="00C5404F">
        <w:rPr>
          <w:rFonts w:asciiTheme="minorHAnsi" w:hAnsiTheme="minorHAnsi"/>
          <w:color w:val="auto"/>
          <w:sz w:val="22"/>
          <w:szCs w:val="22"/>
        </w:rPr>
        <w:t xml:space="preserve">Malnutrition and </w:t>
      </w:r>
      <w:r w:rsidRPr="00C5404F">
        <w:rPr>
          <w:rFonts w:asciiTheme="minorHAnsi" w:hAnsiTheme="minorHAnsi"/>
          <w:color w:val="auto"/>
          <w:sz w:val="22"/>
          <w:szCs w:val="22"/>
        </w:rPr>
        <w:t>Undernutrition</w:t>
      </w:r>
      <w:r w:rsidR="00007D6E" w:rsidRPr="00C5404F">
        <w:rPr>
          <w:rFonts w:asciiTheme="minorHAnsi" w:hAnsiTheme="minorHAnsi"/>
          <w:color w:val="auto"/>
          <w:sz w:val="22"/>
          <w:szCs w:val="22"/>
        </w:rPr>
        <w:t xml:space="preserve"> among Older Adults</w:t>
      </w:r>
      <w:r w:rsidR="00007D6E" w:rsidRPr="00153F47">
        <w:t xml:space="preserve"> </w:t>
      </w:r>
    </w:p>
    <w:p w:rsidR="00896F79" w:rsidRPr="00153F47" w:rsidRDefault="00896F79" w:rsidP="003F2746">
      <w:pPr>
        <w:spacing w:line="240" w:lineRule="auto"/>
      </w:pPr>
      <w:r w:rsidRPr="00153F47">
        <w:t xml:space="preserve">The basic approach to addressing </w:t>
      </w:r>
      <w:r w:rsidR="0037334D">
        <w:t>malnutrition</w:t>
      </w:r>
      <w:r w:rsidRPr="00153F47">
        <w:t xml:space="preserve"> </w:t>
      </w:r>
      <w:r w:rsidR="005F4E1D" w:rsidRPr="00153F47">
        <w:t xml:space="preserve">among community living older adults </w:t>
      </w:r>
      <w:r w:rsidRPr="00153F47">
        <w:t>involves</w:t>
      </w:r>
      <w:r w:rsidR="0037334D">
        <w:t xml:space="preserve"> periodic</w:t>
      </w:r>
      <w:r w:rsidR="00EF0B4C" w:rsidRPr="00153F47">
        <w:t xml:space="preserve"> screening</w:t>
      </w:r>
      <w:r w:rsidR="004072BA">
        <w:t>, assessment</w:t>
      </w:r>
      <w:r w:rsidR="00FF3090">
        <w:t xml:space="preserve"> of those at risk of malnutrition</w:t>
      </w:r>
      <w:r w:rsidR="004072BA">
        <w:t>, and individually-tailored approaches to addres</w:t>
      </w:r>
      <w:r w:rsidR="00FF3090">
        <w:t>sing the condition</w:t>
      </w:r>
      <w:r w:rsidR="004072BA">
        <w:t xml:space="preserve">. </w:t>
      </w:r>
      <w:r w:rsidR="0077148C">
        <w:t xml:space="preserve"> </w:t>
      </w:r>
      <w:r w:rsidR="004072BA">
        <w:t>Through</w:t>
      </w:r>
      <w:r w:rsidR="005F4E1D" w:rsidRPr="00153F47">
        <w:t xml:space="preserve"> </w:t>
      </w:r>
      <w:r w:rsidR="004A3504">
        <w:t xml:space="preserve">regular </w:t>
      </w:r>
      <w:r w:rsidR="005F4E1D" w:rsidRPr="00153F47">
        <w:t>screening</w:t>
      </w:r>
      <w:r w:rsidR="004A3504">
        <w:t>,</w:t>
      </w:r>
      <w:r w:rsidR="004072BA">
        <w:t xml:space="preserve"> health care professionals can determine</w:t>
      </w:r>
      <w:r w:rsidR="005F4E1D" w:rsidRPr="00153F47">
        <w:t xml:space="preserve"> who </w:t>
      </w:r>
      <w:r w:rsidR="004072BA">
        <w:t>is</w:t>
      </w:r>
      <w:r w:rsidR="005F4E1D" w:rsidRPr="00153F47">
        <w:t xml:space="preserve"> </w:t>
      </w:r>
      <w:r w:rsidRPr="00153F47">
        <w:t>at risk for malnutrition</w:t>
      </w:r>
      <w:r w:rsidR="004072BA">
        <w:t xml:space="preserve">.  Those at risk </w:t>
      </w:r>
      <w:r w:rsidRPr="00153F47">
        <w:t>need an assessment to determine the source</w:t>
      </w:r>
      <w:r w:rsidR="000D4DBE">
        <w:t>s</w:t>
      </w:r>
      <w:r w:rsidRPr="00153F47">
        <w:t xml:space="preserve"> </w:t>
      </w:r>
      <w:r w:rsidR="00D07E63" w:rsidRPr="00153F47">
        <w:t>of the</w:t>
      </w:r>
      <w:r w:rsidR="000D4DBE">
        <w:t>ir</w:t>
      </w:r>
      <w:r w:rsidR="00D07E63" w:rsidRPr="00153F47">
        <w:t xml:space="preserve"> risks.  Successful</w:t>
      </w:r>
      <w:r w:rsidR="00EF0B4C" w:rsidRPr="00153F47">
        <w:t xml:space="preserve"> </w:t>
      </w:r>
      <w:r w:rsidR="009F6D3E" w:rsidRPr="00153F47">
        <w:t>t</w:t>
      </w:r>
      <w:r w:rsidRPr="00153F47">
        <w:t>reatment</w:t>
      </w:r>
      <w:r w:rsidR="009F6D3E" w:rsidRPr="00153F47">
        <w:t>s</w:t>
      </w:r>
      <w:r w:rsidR="00EF0B4C" w:rsidRPr="00153F47">
        <w:t xml:space="preserve"> for those in the community</w:t>
      </w:r>
      <w:r w:rsidR="00D07E63" w:rsidRPr="00153F47">
        <w:t xml:space="preserve"> who </w:t>
      </w:r>
      <w:r w:rsidR="0075113A">
        <w:t xml:space="preserve">experience undernutrition </w:t>
      </w:r>
      <w:r w:rsidRPr="00153F47">
        <w:t xml:space="preserve">involve </w:t>
      </w:r>
      <w:r w:rsidR="00EF39DE">
        <w:t xml:space="preserve">addressing the </w:t>
      </w:r>
      <w:r w:rsidR="004072BA">
        <w:t xml:space="preserve">individual’s unique set of </w:t>
      </w:r>
      <w:r w:rsidR="00EF39DE">
        <w:t>risks</w:t>
      </w:r>
      <w:r w:rsidR="004072BA">
        <w:t xml:space="preserve"> documented during assessments.</w:t>
      </w:r>
      <w:r w:rsidR="007A397E">
        <w:t xml:space="preserve"> </w:t>
      </w:r>
      <w:r w:rsidR="000D4DBE">
        <w:t xml:space="preserve"> </w:t>
      </w:r>
      <w:r w:rsidR="007A397E">
        <w:t xml:space="preserve">Addressing these risks may involve </w:t>
      </w:r>
      <w:r w:rsidR="00CB71C2">
        <w:t xml:space="preserve">provision of </w:t>
      </w:r>
      <w:r w:rsidR="007A397E">
        <w:t xml:space="preserve">meals, meal enhancements, and, for those who need them, </w:t>
      </w:r>
      <w:r w:rsidR="00BE4698">
        <w:t>nutrition</w:t>
      </w:r>
      <w:r w:rsidR="007A397E">
        <w:t xml:space="preserve"> supplements.</w:t>
      </w:r>
      <w:r w:rsidR="00A17ADF">
        <w:t xml:space="preserve"> </w:t>
      </w:r>
      <w:r w:rsidRPr="00153F47">
        <w:t xml:space="preserve"> </w:t>
      </w:r>
      <w:r w:rsidR="00791721">
        <w:t>Addressing p</w:t>
      </w:r>
      <w:r w:rsidR="004072BA">
        <w:t>sychosocial factors</w:t>
      </w:r>
      <w:r w:rsidR="00791721">
        <w:t>, such as depression and isolation may require opportunities for</w:t>
      </w:r>
      <w:r w:rsidR="0077148C">
        <w:t xml:space="preserve"> treatment and</w:t>
      </w:r>
      <w:r w:rsidR="00791721">
        <w:t xml:space="preserve"> socialization.</w:t>
      </w:r>
      <w:r w:rsidR="00F340A1" w:rsidRPr="00F340A1">
        <w:t xml:space="preserve"> </w:t>
      </w:r>
      <w:r w:rsidR="00F340A1">
        <w:t>Social interventions may</w:t>
      </w:r>
      <w:r w:rsidR="00F340A1" w:rsidRPr="00F340A1">
        <w:t xml:space="preserve"> improve </w:t>
      </w:r>
      <w:r w:rsidR="00BE4698">
        <w:t>nutrition</w:t>
      </w:r>
      <w:r w:rsidR="00F340A1" w:rsidRPr="00F340A1">
        <w:t xml:space="preserve"> status (Luger et al., 2016).</w:t>
      </w:r>
      <w:r w:rsidR="00791721">
        <w:t xml:space="preserve"> </w:t>
      </w:r>
      <w:r w:rsidR="00F340A1">
        <w:t xml:space="preserve"> </w:t>
      </w:r>
      <w:r w:rsidR="00791721">
        <w:t>I</w:t>
      </w:r>
      <w:r w:rsidR="004072BA">
        <w:t xml:space="preserve">nadequate access to </w:t>
      </w:r>
      <w:r w:rsidR="00791721">
        <w:t xml:space="preserve">enough nutritious </w:t>
      </w:r>
      <w:r w:rsidR="00F340A1">
        <w:t xml:space="preserve">food </w:t>
      </w:r>
      <w:r w:rsidR="00791721">
        <w:t xml:space="preserve">may result from low income and financial resources, </w:t>
      </w:r>
      <w:r w:rsidR="003D3D32">
        <w:t>m</w:t>
      </w:r>
      <w:r w:rsidR="001C50C3">
        <w:t>obility difficulties, “food des</w:t>
      </w:r>
      <w:r w:rsidR="003D3D32">
        <w:t>erts</w:t>
      </w:r>
      <w:r w:rsidR="0077148C">
        <w:t>,</w:t>
      </w:r>
      <w:r w:rsidR="003D3D32">
        <w:rPr>
          <w:rStyle w:val="FootnoteReference"/>
        </w:rPr>
        <w:footnoteReference w:id="3"/>
      </w:r>
      <w:r w:rsidR="003D3D32">
        <w:t>” or a person’s limited understanding of what is nutritious food.  These risk factors may require different interventions.</w:t>
      </w:r>
      <w:r w:rsidR="004072BA">
        <w:t xml:space="preserve"> </w:t>
      </w:r>
    </w:p>
    <w:p w:rsidR="00F9419E" w:rsidRPr="00B53104" w:rsidRDefault="006C6527" w:rsidP="00B53104">
      <w:pPr>
        <w:pStyle w:val="Heading1"/>
        <w:ind w:left="720"/>
        <w:rPr>
          <w:rFonts w:asciiTheme="minorHAnsi" w:hAnsiTheme="minorHAnsi"/>
          <w:color w:val="auto"/>
          <w:sz w:val="22"/>
          <w:szCs w:val="22"/>
        </w:rPr>
      </w:pPr>
      <w:r w:rsidRPr="00B53104">
        <w:rPr>
          <w:rFonts w:asciiTheme="minorHAnsi" w:hAnsiTheme="minorHAnsi"/>
          <w:color w:val="auto"/>
          <w:sz w:val="22"/>
          <w:szCs w:val="22"/>
        </w:rPr>
        <w:lastRenderedPageBreak/>
        <w:t>3</w:t>
      </w:r>
      <w:r w:rsidR="00B53104">
        <w:rPr>
          <w:rFonts w:asciiTheme="minorHAnsi" w:hAnsiTheme="minorHAnsi"/>
          <w:color w:val="auto"/>
          <w:sz w:val="22"/>
          <w:szCs w:val="22"/>
        </w:rPr>
        <w:t>.a</w:t>
      </w:r>
      <w:r w:rsidR="00443AA8">
        <w:rPr>
          <w:rFonts w:asciiTheme="minorHAnsi" w:hAnsiTheme="minorHAnsi"/>
          <w:color w:val="auto"/>
          <w:sz w:val="22"/>
          <w:szCs w:val="22"/>
        </w:rPr>
        <w:t>.</w:t>
      </w:r>
      <w:r w:rsidR="00007D6E" w:rsidRPr="00B53104">
        <w:rPr>
          <w:rFonts w:asciiTheme="minorHAnsi" w:hAnsiTheme="minorHAnsi"/>
          <w:color w:val="auto"/>
          <w:sz w:val="22"/>
          <w:szCs w:val="22"/>
        </w:rPr>
        <w:t xml:space="preserve"> </w:t>
      </w:r>
      <w:r w:rsidR="00D41279" w:rsidRPr="00B53104">
        <w:rPr>
          <w:rFonts w:asciiTheme="minorHAnsi" w:hAnsiTheme="minorHAnsi"/>
          <w:color w:val="auto"/>
          <w:sz w:val="22"/>
          <w:szCs w:val="22"/>
        </w:rPr>
        <w:t xml:space="preserve">Screening and Assessment </w:t>
      </w:r>
    </w:p>
    <w:p w:rsidR="00E84131" w:rsidRPr="00153F47" w:rsidRDefault="00032174" w:rsidP="00015293">
      <w:pPr>
        <w:autoSpaceDE w:val="0"/>
        <w:autoSpaceDN w:val="0"/>
        <w:adjustRightInd w:val="0"/>
        <w:spacing w:after="0" w:line="240" w:lineRule="auto"/>
      </w:pPr>
      <w:r w:rsidRPr="00153F47">
        <w:t xml:space="preserve">Studies highlight the importance of </w:t>
      </w:r>
      <w:r w:rsidR="00896F79" w:rsidRPr="00153F47">
        <w:t xml:space="preserve">general </w:t>
      </w:r>
      <w:r w:rsidRPr="00153F47">
        <w:t>malnutrition screening</w:t>
      </w:r>
      <w:r w:rsidR="00BD1AAB" w:rsidRPr="00153F47">
        <w:t xml:space="preserve"> among older adults</w:t>
      </w:r>
      <w:r w:rsidRPr="00153F47">
        <w:t xml:space="preserve"> as the first step in the </w:t>
      </w:r>
      <w:r w:rsidR="00BE4698">
        <w:t>nutrition</w:t>
      </w:r>
      <w:r w:rsidRPr="00153F47">
        <w:t xml:space="preserve"> care process</w:t>
      </w:r>
      <w:r w:rsidR="005F4E1D" w:rsidRPr="00153F47">
        <w:t xml:space="preserve">.  Those who may be experiencing undernutrition need monitoring of their </w:t>
      </w:r>
      <w:r w:rsidRPr="00153F47">
        <w:t>weight and body composition</w:t>
      </w:r>
      <w:r w:rsidR="00881D7F" w:rsidRPr="00153F47">
        <w:t xml:space="preserve"> as well (Agarwal et al</w:t>
      </w:r>
      <w:r w:rsidR="00E21135">
        <w:t>.</w:t>
      </w:r>
      <w:r w:rsidR="00881D7F" w:rsidRPr="00153F47">
        <w:t xml:space="preserve">, 2013; </w:t>
      </w:r>
      <w:r w:rsidRPr="00153F47">
        <w:t xml:space="preserve">Visvanathan, 2014). </w:t>
      </w:r>
      <w:r w:rsidR="005F4E1D" w:rsidRPr="00153F47">
        <w:t xml:space="preserve"> </w:t>
      </w:r>
      <w:r w:rsidRPr="00153F47">
        <w:t>Recom</w:t>
      </w:r>
      <w:r w:rsidR="00130C2E">
        <w:t>mendations</w:t>
      </w:r>
      <w:r w:rsidR="000D4DBE">
        <w:t xml:space="preserve"> are that all community-dwelling older adults receive an annual</w:t>
      </w:r>
      <w:r w:rsidR="00130C2E">
        <w:t xml:space="preserve"> </w:t>
      </w:r>
      <w:r w:rsidRPr="00153F47">
        <w:t>maln</w:t>
      </w:r>
      <w:r w:rsidR="000D4DBE">
        <w:t>utrition screening</w:t>
      </w:r>
      <w:r w:rsidR="005F4E1D" w:rsidRPr="00153F47">
        <w:t>.  Those receiving home</w:t>
      </w:r>
      <w:r w:rsidR="0094486B" w:rsidRPr="00153F47">
        <w:t xml:space="preserve"> and community-based </w:t>
      </w:r>
      <w:r w:rsidR="005F4E1D" w:rsidRPr="00153F47">
        <w:t xml:space="preserve">services </w:t>
      </w:r>
      <w:r w:rsidRPr="00153F47">
        <w:t>should receive a quarterly screening</w:t>
      </w:r>
      <w:r w:rsidR="00015293" w:rsidRPr="00153F47">
        <w:t>.  O</w:t>
      </w:r>
      <w:r w:rsidR="0037334D">
        <w:t>lder hospital</w:t>
      </w:r>
      <w:r w:rsidR="00015293" w:rsidRPr="00153F47">
        <w:t xml:space="preserve"> patients should have screening on admission and </w:t>
      </w:r>
      <w:r w:rsidR="000D4DBE">
        <w:t xml:space="preserve">at least </w:t>
      </w:r>
      <w:r w:rsidR="00015293" w:rsidRPr="00153F47">
        <w:t>weekly during a long stay</w:t>
      </w:r>
      <w:r w:rsidR="005F4E1D" w:rsidRPr="00153F47">
        <w:t xml:space="preserve"> (Bauer et al., 2010)</w:t>
      </w:r>
      <w:r w:rsidRPr="00153F47">
        <w:t xml:space="preserve">. </w:t>
      </w:r>
    </w:p>
    <w:p w:rsidR="00015293" w:rsidRPr="00153F47" w:rsidRDefault="00015293" w:rsidP="00015293">
      <w:pPr>
        <w:autoSpaceDE w:val="0"/>
        <w:autoSpaceDN w:val="0"/>
        <w:adjustRightInd w:val="0"/>
        <w:spacing w:after="0" w:line="240" w:lineRule="auto"/>
      </w:pPr>
    </w:p>
    <w:p w:rsidR="006C6527" w:rsidRPr="00153F47" w:rsidRDefault="00032174" w:rsidP="003F2746">
      <w:pPr>
        <w:spacing w:line="240" w:lineRule="auto"/>
      </w:pPr>
      <w:r w:rsidRPr="00153F47">
        <w:t>If a person has malnutrition or is considered at risk for it,</w:t>
      </w:r>
      <w:r w:rsidR="00BD1AAB" w:rsidRPr="00153F47">
        <w:t xml:space="preserve"> whether underweight, overweight or obese,</w:t>
      </w:r>
      <w:r w:rsidRPr="00153F47">
        <w:t xml:space="preserve"> </w:t>
      </w:r>
      <w:r w:rsidR="00EF0B4C" w:rsidRPr="00153F47">
        <w:t xml:space="preserve">they need a </w:t>
      </w:r>
      <w:r w:rsidR="00BE4698">
        <w:t>nutrition</w:t>
      </w:r>
      <w:r w:rsidR="00EF0B4C" w:rsidRPr="00153F47">
        <w:t xml:space="preserve"> assess</w:t>
      </w:r>
      <w:r w:rsidR="00015293" w:rsidRPr="00153F47">
        <w:t>ment</w:t>
      </w:r>
      <w:r w:rsidRPr="00153F47">
        <w:t xml:space="preserve"> (Visvanathan, 2014).  </w:t>
      </w:r>
      <w:r w:rsidR="00EF0B4C" w:rsidRPr="00153F47">
        <w:t>Since the potential causes for malnutrition are diverse, t</w:t>
      </w:r>
      <w:r w:rsidRPr="00153F47">
        <w:t>he assessment should address a wide array of factors: m</w:t>
      </w:r>
      <w:r w:rsidR="004D6166" w:rsidRPr="00153F47">
        <w:t>edical history, medicines, diet</w:t>
      </w:r>
      <w:r w:rsidRPr="00153F47">
        <w:t xml:space="preserve">, oral health, swallowing ability, </w:t>
      </w:r>
      <w:r w:rsidR="00BC4750">
        <w:t xml:space="preserve">physical and cognitive </w:t>
      </w:r>
      <w:r w:rsidRPr="00153F47">
        <w:t>function, gastrointestinal, psychiatric, and neurological</w:t>
      </w:r>
      <w:r w:rsidR="000D4DBE">
        <w:t xml:space="preserve"> conditions</w:t>
      </w:r>
      <w:r w:rsidRPr="00153F47">
        <w:t>; body measurements and laboratory analysis; and so</w:t>
      </w:r>
      <w:r w:rsidR="00015293" w:rsidRPr="00153F47">
        <w:t>cial aspects of a person’s life</w:t>
      </w:r>
      <w:r w:rsidRPr="00153F47">
        <w:t xml:space="preserve"> (Bauer et al., 2010)</w:t>
      </w:r>
      <w:r w:rsidR="00015293" w:rsidRPr="00153F47">
        <w:t>.</w:t>
      </w:r>
      <w:r w:rsidR="00E84131" w:rsidRPr="00153F47">
        <w:t xml:space="preserve"> Interventions should be tailored to the individual’s needs, based on the results of the assessment.</w:t>
      </w:r>
      <w:r w:rsidR="006C6527" w:rsidRPr="00153F47">
        <w:t xml:space="preserve"> </w:t>
      </w:r>
    </w:p>
    <w:p w:rsidR="006C6527" w:rsidRPr="00153F47" w:rsidRDefault="006C6527" w:rsidP="003F2746">
      <w:pPr>
        <w:spacing w:line="240" w:lineRule="auto"/>
      </w:pPr>
      <w:r w:rsidRPr="00153F47">
        <w:t>Understanding the cause</w:t>
      </w:r>
      <w:r w:rsidR="00D729D1">
        <w:t>s</w:t>
      </w:r>
      <w:r w:rsidR="003724F9">
        <w:t xml:space="preserve"> of under</w:t>
      </w:r>
      <w:r w:rsidRPr="00153F47">
        <w:t xml:space="preserve">nutrition is </w:t>
      </w:r>
      <w:r w:rsidR="000D4DBE">
        <w:t xml:space="preserve">the </w:t>
      </w:r>
      <w:r w:rsidRPr="00153F47">
        <w:t>key t</w:t>
      </w:r>
      <w:r w:rsidR="00697726">
        <w:t xml:space="preserve">o implementing </w:t>
      </w:r>
      <w:r w:rsidR="00BE4698">
        <w:t>nutrition</w:t>
      </w:r>
      <w:r w:rsidR="00697726">
        <w:t xml:space="preserve"> interventions</w:t>
      </w:r>
      <w:r w:rsidRPr="00153F47">
        <w:t xml:space="preserve"> tailored to the individual.  </w:t>
      </w:r>
      <w:r w:rsidR="00BC4750">
        <w:t>For example, st</w:t>
      </w:r>
      <w:r w:rsidR="000D4DBE">
        <w:t>arvation may</w:t>
      </w:r>
      <w:r w:rsidRPr="00153F47">
        <w:t xml:space="preserve"> be reversed</w:t>
      </w:r>
      <w:r w:rsidR="00BC4750">
        <w:t>, if the cause is undernutrition</w:t>
      </w:r>
      <w:r w:rsidRPr="00153F47">
        <w:t xml:space="preserve">.  </w:t>
      </w:r>
      <w:r w:rsidR="000D4DBE">
        <w:t>Dietary interventions are generally not sufficient to address s</w:t>
      </w:r>
      <w:r w:rsidRPr="00153F47">
        <w:t>arcopenia</w:t>
      </w:r>
      <w:r w:rsidR="000D4DBE">
        <w:t>,</w:t>
      </w:r>
      <w:r w:rsidRPr="00153F47">
        <w:t xml:space="preserve"> </w:t>
      </w:r>
      <w:r w:rsidR="008041C6">
        <w:t xml:space="preserve">but </w:t>
      </w:r>
      <w:r w:rsidR="000D4DBE">
        <w:t xml:space="preserve">adding </w:t>
      </w:r>
      <w:r w:rsidRPr="00153F47">
        <w:t xml:space="preserve">weight training </w:t>
      </w:r>
      <w:r w:rsidR="000D4DBE">
        <w:t xml:space="preserve">can be </w:t>
      </w:r>
      <w:r w:rsidR="008041C6">
        <w:t>effective.</w:t>
      </w:r>
      <w:r w:rsidR="00EF0B4C" w:rsidRPr="00153F47">
        <w:t xml:space="preserve"> </w:t>
      </w:r>
      <w:r w:rsidR="0050241E">
        <w:t xml:space="preserve"> </w:t>
      </w:r>
      <w:r w:rsidR="00EF0B4C" w:rsidRPr="00153F47">
        <w:t>Cachexia</w:t>
      </w:r>
      <w:r w:rsidRPr="00153F47">
        <w:t xml:space="preserve"> is a complex condition related to an underlying illness</w:t>
      </w:r>
      <w:r w:rsidR="00EF0B4C" w:rsidRPr="00153F47">
        <w:t>,</w:t>
      </w:r>
      <w:r w:rsidR="000D4DBE">
        <w:t xml:space="preserve"> such as cancer,</w:t>
      </w:r>
      <w:r w:rsidR="00EF0B4C" w:rsidRPr="00153F47">
        <w:t xml:space="preserve"> which involves</w:t>
      </w:r>
      <w:r w:rsidRPr="00153F47">
        <w:t xml:space="preserve"> weight and muscle loss</w:t>
      </w:r>
      <w:r w:rsidR="000D4DBE">
        <w:t xml:space="preserve">.  </w:t>
      </w:r>
      <w:r w:rsidRPr="00153F47">
        <w:t xml:space="preserve">Treatment of cachexia </w:t>
      </w:r>
      <w:r w:rsidR="00B1456A">
        <w:t>may involve</w:t>
      </w:r>
      <w:r w:rsidR="00EF0B4C" w:rsidRPr="00153F47">
        <w:t xml:space="preserve"> diet</w:t>
      </w:r>
      <w:r w:rsidR="00CB71C2">
        <w:t>ary interventions</w:t>
      </w:r>
      <w:r w:rsidR="00B1456A">
        <w:t>,</w:t>
      </w:r>
      <w:r w:rsidR="00EF0B4C" w:rsidRPr="00153F47">
        <w:t xml:space="preserve"> </w:t>
      </w:r>
      <w:r w:rsidRPr="00153F47">
        <w:t xml:space="preserve">appetite stimulants, </w:t>
      </w:r>
      <w:r w:rsidR="00B1456A">
        <w:t>as well as</w:t>
      </w:r>
      <w:r w:rsidR="00EF0B4C" w:rsidRPr="00153F47">
        <w:t xml:space="preserve"> </w:t>
      </w:r>
      <w:r w:rsidRPr="00153F47">
        <w:t>drug and exercise interventions (Agarwal et al</w:t>
      </w:r>
      <w:r w:rsidR="00E21135">
        <w:t>.</w:t>
      </w:r>
      <w:r w:rsidRPr="00153F47">
        <w:t>, 2013).</w:t>
      </w:r>
      <w:r w:rsidR="00D729D1">
        <w:t xml:space="preserve">  If a person has psychosocial conditions, such as cognitive impairment or depression, professionals need to address them too.</w:t>
      </w:r>
    </w:p>
    <w:p w:rsidR="00D41279" w:rsidRPr="00B53104" w:rsidRDefault="006C6527" w:rsidP="00B53104">
      <w:pPr>
        <w:pStyle w:val="Heading1"/>
        <w:ind w:left="720"/>
        <w:rPr>
          <w:rFonts w:asciiTheme="minorHAnsi" w:hAnsiTheme="minorHAnsi"/>
          <w:color w:val="auto"/>
          <w:sz w:val="22"/>
          <w:szCs w:val="22"/>
        </w:rPr>
      </w:pPr>
      <w:r w:rsidRPr="00B53104">
        <w:rPr>
          <w:rFonts w:asciiTheme="minorHAnsi" w:hAnsiTheme="minorHAnsi"/>
          <w:color w:val="auto"/>
          <w:sz w:val="22"/>
          <w:szCs w:val="22"/>
        </w:rPr>
        <w:t>3</w:t>
      </w:r>
      <w:r w:rsidR="00B53104">
        <w:rPr>
          <w:rFonts w:asciiTheme="minorHAnsi" w:hAnsiTheme="minorHAnsi"/>
          <w:color w:val="auto"/>
          <w:sz w:val="22"/>
          <w:szCs w:val="22"/>
        </w:rPr>
        <w:t>.b</w:t>
      </w:r>
      <w:r w:rsidR="00443AA8">
        <w:rPr>
          <w:rFonts w:asciiTheme="minorHAnsi" w:hAnsiTheme="minorHAnsi"/>
          <w:color w:val="auto"/>
          <w:sz w:val="22"/>
          <w:szCs w:val="22"/>
        </w:rPr>
        <w:t>.</w:t>
      </w:r>
      <w:r w:rsidR="00D41279" w:rsidRPr="00B53104">
        <w:rPr>
          <w:rFonts w:asciiTheme="minorHAnsi" w:hAnsiTheme="minorHAnsi"/>
          <w:color w:val="auto"/>
          <w:sz w:val="22"/>
          <w:szCs w:val="22"/>
        </w:rPr>
        <w:t xml:space="preserve"> Dietary Goals</w:t>
      </w:r>
    </w:p>
    <w:p w:rsidR="00230ABF" w:rsidRDefault="00E84131" w:rsidP="00542A13">
      <w:pPr>
        <w:spacing w:line="240" w:lineRule="auto"/>
      </w:pPr>
      <w:r w:rsidRPr="00153F47">
        <w:t xml:space="preserve">Keeping in mind the results of screening and assessment, the major goal for older adults experiencing  </w:t>
      </w:r>
      <w:r w:rsidR="004D6166" w:rsidRPr="00153F47">
        <w:t xml:space="preserve"> malnutrition</w:t>
      </w:r>
      <w:r w:rsidR="001021DE" w:rsidRPr="00153F47">
        <w:t xml:space="preserve">, including over and </w:t>
      </w:r>
      <w:r w:rsidR="004D6166" w:rsidRPr="00153F47">
        <w:t>undernutrition</w:t>
      </w:r>
      <w:r w:rsidR="0005484E">
        <w:t>,</w:t>
      </w:r>
      <w:r w:rsidR="00A6185E" w:rsidRPr="00153F47">
        <w:t xml:space="preserve"> is to achieve a nutrient dense diet</w:t>
      </w:r>
      <w:r w:rsidR="0005484E">
        <w:t xml:space="preserve"> that takes into account their uniqu</w:t>
      </w:r>
      <w:r w:rsidR="00230ABF">
        <w:t xml:space="preserve">e </w:t>
      </w:r>
      <w:r w:rsidR="00061409">
        <w:t xml:space="preserve">medical, </w:t>
      </w:r>
      <w:r w:rsidR="00230ABF">
        <w:t xml:space="preserve">health, function, and </w:t>
      </w:r>
      <w:r w:rsidR="00061409">
        <w:t>psycho</w:t>
      </w:r>
      <w:r w:rsidR="00230ABF">
        <w:t>social risks</w:t>
      </w:r>
      <w:r w:rsidR="00A6185E" w:rsidRPr="00153F47">
        <w:t xml:space="preserve">. </w:t>
      </w:r>
      <w:r w:rsidR="00061409">
        <w:t xml:space="preserve"> Professionals can use scientific guidelines </w:t>
      </w:r>
      <w:r w:rsidR="00230ABF">
        <w:t>to help older adults achieve this kind of diet.</w:t>
      </w:r>
    </w:p>
    <w:p w:rsidR="001021DE" w:rsidRDefault="001021DE" w:rsidP="00230ABF">
      <w:pPr>
        <w:pStyle w:val="ListParagraph"/>
        <w:numPr>
          <w:ilvl w:val="0"/>
          <w:numId w:val="23"/>
        </w:numPr>
        <w:spacing w:line="240" w:lineRule="auto"/>
      </w:pPr>
      <w:r w:rsidRPr="00153F47">
        <w:t xml:space="preserve">The Federal government updates its </w:t>
      </w:r>
      <w:r w:rsidR="00AB1F7C" w:rsidRPr="00230ABF">
        <w:rPr>
          <w:i/>
        </w:rPr>
        <w:t xml:space="preserve">Dietary Guidelines for Americans </w:t>
      </w:r>
      <w:r w:rsidR="00AB1F7C" w:rsidRPr="00153F47">
        <w:t>(DGAs)</w:t>
      </w:r>
      <w:r w:rsidR="00AB1F7C" w:rsidRPr="00230ABF">
        <w:rPr>
          <w:i/>
        </w:rPr>
        <w:t xml:space="preserve"> </w:t>
      </w:r>
      <w:r w:rsidRPr="00153F47">
        <w:t>every 5 years</w:t>
      </w:r>
      <w:r w:rsidR="00F13D92">
        <w:t xml:space="preserve"> (USDHHS and USDA, 2015)</w:t>
      </w:r>
      <w:r w:rsidRPr="00153F47">
        <w:t xml:space="preserve">.  The </w:t>
      </w:r>
      <w:r w:rsidR="00CB71C2">
        <w:t xml:space="preserve">five general </w:t>
      </w:r>
      <w:r w:rsidRPr="00153F47">
        <w:t>DGAs</w:t>
      </w:r>
      <w:r w:rsidR="0005484E">
        <w:t xml:space="preserve"> during</w:t>
      </w:r>
      <w:r w:rsidR="003D3D32">
        <w:t xml:space="preserve"> 2015-2020 </w:t>
      </w:r>
      <w:r w:rsidR="00CB71C2">
        <w:t>are</w:t>
      </w:r>
      <w:r w:rsidRPr="00153F47">
        <w:t>:</w:t>
      </w:r>
    </w:p>
    <w:p w:rsidR="00230ABF" w:rsidRDefault="00230ABF" w:rsidP="0021646D">
      <w:pPr>
        <w:pStyle w:val="ListParagraph"/>
        <w:numPr>
          <w:ilvl w:val="1"/>
          <w:numId w:val="25"/>
        </w:numPr>
        <w:spacing w:line="240" w:lineRule="auto"/>
      </w:pPr>
      <w:r>
        <w:t>Follow a healthy eating pattern across the lifespan.</w:t>
      </w:r>
    </w:p>
    <w:p w:rsidR="00230ABF" w:rsidRDefault="00230ABF" w:rsidP="0021646D">
      <w:pPr>
        <w:pStyle w:val="ListParagraph"/>
        <w:numPr>
          <w:ilvl w:val="1"/>
          <w:numId w:val="25"/>
        </w:numPr>
        <w:spacing w:line="240" w:lineRule="auto"/>
      </w:pPr>
      <w:r>
        <w:t>Focus on variety, nutrient density, and amount.</w:t>
      </w:r>
    </w:p>
    <w:p w:rsidR="00230ABF" w:rsidRDefault="00230ABF" w:rsidP="0021646D">
      <w:pPr>
        <w:pStyle w:val="ListParagraph"/>
        <w:numPr>
          <w:ilvl w:val="1"/>
          <w:numId w:val="25"/>
        </w:numPr>
        <w:spacing w:line="240" w:lineRule="auto"/>
      </w:pPr>
      <w:r>
        <w:t>Limit calories from added sugars and saturated fats, and reduce sodium intake.</w:t>
      </w:r>
    </w:p>
    <w:p w:rsidR="00230ABF" w:rsidRDefault="00230ABF" w:rsidP="0021646D">
      <w:pPr>
        <w:pStyle w:val="ListParagraph"/>
        <w:numPr>
          <w:ilvl w:val="1"/>
          <w:numId w:val="25"/>
        </w:numPr>
        <w:spacing w:line="240" w:lineRule="auto"/>
      </w:pPr>
      <w:r>
        <w:t>Shift to healthier food and beverage choices.</w:t>
      </w:r>
    </w:p>
    <w:p w:rsidR="00230ABF" w:rsidRDefault="00230ABF" w:rsidP="0021646D">
      <w:pPr>
        <w:pStyle w:val="ListParagraph"/>
        <w:numPr>
          <w:ilvl w:val="1"/>
          <w:numId w:val="25"/>
        </w:numPr>
        <w:spacing w:line="240" w:lineRule="auto"/>
      </w:pPr>
      <w:r>
        <w:t>Support healthy eating patterns for all.</w:t>
      </w:r>
    </w:p>
    <w:p w:rsidR="00230ABF" w:rsidRPr="00230ABF" w:rsidRDefault="00BF794C" w:rsidP="00230ABF">
      <w:pPr>
        <w:pStyle w:val="ListParagraph"/>
        <w:numPr>
          <w:ilvl w:val="0"/>
          <w:numId w:val="23"/>
        </w:numPr>
        <w:spacing w:line="240" w:lineRule="auto"/>
      </w:pPr>
      <w:r w:rsidRPr="0030701B">
        <w:rPr>
          <w:lang w:val="en"/>
        </w:rPr>
        <w:t xml:space="preserve">The Health and Medicine Division of the National Academies of Science, Engineering, and Medicine (NASEM/HMD) </w:t>
      </w:r>
      <w:r w:rsidR="00542A13" w:rsidRPr="00230ABF">
        <w:rPr>
          <w:lang w:val="en"/>
        </w:rPr>
        <w:t>in its report on nutrition for older adults</w:t>
      </w:r>
      <w:r w:rsidR="00D626A8" w:rsidRPr="00230ABF">
        <w:rPr>
          <w:lang w:val="en"/>
        </w:rPr>
        <w:t xml:space="preserve"> (NASEM, 2016)</w:t>
      </w:r>
      <w:r w:rsidR="00542A13" w:rsidRPr="00230ABF">
        <w:rPr>
          <w:lang w:val="en"/>
        </w:rPr>
        <w:t xml:space="preserve"> provides the following </w:t>
      </w:r>
      <w:r w:rsidR="001021DE" w:rsidRPr="00230ABF">
        <w:rPr>
          <w:lang w:val="en"/>
        </w:rPr>
        <w:t>recommend</w:t>
      </w:r>
      <w:r w:rsidR="00542A13" w:rsidRPr="00230ABF">
        <w:rPr>
          <w:lang w:val="en"/>
        </w:rPr>
        <w:t>ations for</w:t>
      </w:r>
      <w:r w:rsidR="001021DE" w:rsidRPr="00230ABF">
        <w:rPr>
          <w:lang w:val="en"/>
        </w:rPr>
        <w:t xml:space="preserve"> older adults’ diets:  </w:t>
      </w:r>
    </w:p>
    <w:p w:rsidR="00230ABF" w:rsidRDefault="00E961A4" w:rsidP="0021646D">
      <w:pPr>
        <w:pStyle w:val="ListParagraph"/>
        <w:numPr>
          <w:ilvl w:val="1"/>
          <w:numId w:val="26"/>
        </w:numPr>
        <w:spacing w:line="240" w:lineRule="auto"/>
      </w:pPr>
      <w:r w:rsidRPr="00153F47">
        <w:t>Make fruits and vegetables</w:t>
      </w:r>
      <w:r w:rsidR="00A6185E" w:rsidRPr="00153F47">
        <w:t xml:space="preserve"> central to the diet</w:t>
      </w:r>
      <w:r w:rsidR="00230ABF">
        <w:t>.</w:t>
      </w:r>
    </w:p>
    <w:p w:rsidR="00230ABF" w:rsidRDefault="00A6185E" w:rsidP="0021646D">
      <w:pPr>
        <w:pStyle w:val="ListParagraph"/>
        <w:numPr>
          <w:ilvl w:val="1"/>
          <w:numId w:val="26"/>
        </w:numPr>
        <w:spacing w:line="240" w:lineRule="auto"/>
      </w:pPr>
      <w:r w:rsidRPr="00153F47">
        <w:t>Eat nuts and legumes and whole grains</w:t>
      </w:r>
      <w:r w:rsidR="00230ABF">
        <w:t>.</w:t>
      </w:r>
    </w:p>
    <w:p w:rsidR="00230ABF" w:rsidRDefault="00A6185E" w:rsidP="0021646D">
      <w:pPr>
        <w:pStyle w:val="ListParagraph"/>
        <w:numPr>
          <w:ilvl w:val="1"/>
          <w:numId w:val="26"/>
        </w:numPr>
        <w:spacing w:line="240" w:lineRule="auto"/>
      </w:pPr>
      <w:r w:rsidRPr="00153F47">
        <w:t>Eat fish</w:t>
      </w:r>
      <w:r w:rsidR="00230ABF">
        <w:t>.</w:t>
      </w:r>
    </w:p>
    <w:p w:rsidR="0030701B" w:rsidRDefault="00A6185E" w:rsidP="0021646D">
      <w:pPr>
        <w:pStyle w:val="ListParagraph"/>
        <w:numPr>
          <w:ilvl w:val="1"/>
          <w:numId w:val="26"/>
        </w:numPr>
        <w:spacing w:line="240" w:lineRule="auto"/>
      </w:pPr>
      <w:r w:rsidRPr="00153F47">
        <w:t>Eat/drink low-fat dairy products</w:t>
      </w:r>
      <w:r w:rsidR="0030701B">
        <w:t>.</w:t>
      </w:r>
    </w:p>
    <w:p w:rsidR="0030701B" w:rsidRDefault="00A6185E" w:rsidP="0021646D">
      <w:pPr>
        <w:pStyle w:val="ListParagraph"/>
        <w:numPr>
          <w:ilvl w:val="1"/>
          <w:numId w:val="26"/>
        </w:numPr>
        <w:spacing w:line="240" w:lineRule="auto"/>
      </w:pPr>
      <w:r w:rsidRPr="00153F47">
        <w:t>Limit refine</w:t>
      </w:r>
      <w:r w:rsidR="0030701B">
        <w:t xml:space="preserve">d foods and sugar. </w:t>
      </w:r>
    </w:p>
    <w:p w:rsidR="001A7C2E" w:rsidRPr="0050241E" w:rsidRDefault="00BF794C" w:rsidP="00DB20E5">
      <w:pPr>
        <w:pStyle w:val="ListParagraph"/>
        <w:numPr>
          <w:ilvl w:val="0"/>
          <w:numId w:val="23"/>
        </w:numPr>
        <w:spacing w:line="240" w:lineRule="auto"/>
      </w:pPr>
      <w:r>
        <w:rPr>
          <w:lang w:val="en"/>
        </w:rPr>
        <w:lastRenderedPageBreak/>
        <w:t>NASEM/HMD</w:t>
      </w:r>
      <w:r w:rsidR="00230ABF" w:rsidRPr="0030701B">
        <w:rPr>
          <w:lang w:val="en"/>
        </w:rPr>
        <w:t xml:space="preserve"> develops Dietary Reference Intakes (DRIs), which offer current science on the nutrition that healthy populations need. </w:t>
      </w:r>
      <w:r w:rsidR="00AF23D8">
        <w:rPr>
          <w:lang w:val="en"/>
        </w:rPr>
        <w:t xml:space="preserve"> The Older Americans Act nutrition </w:t>
      </w:r>
      <w:r w:rsidR="00C163C4">
        <w:rPr>
          <w:lang w:val="en"/>
        </w:rPr>
        <w:t xml:space="preserve">assistance </w:t>
      </w:r>
      <w:r w:rsidR="00AF23D8">
        <w:rPr>
          <w:lang w:val="en"/>
        </w:rPr>
        <w:t>programs</w:t>
      </w:r>
      <w:r w:rsidR="00C163C4">
        <w:rPr>
          <w:rStyle w:val="FootnoteReference"/>
          <w:lang w:val="en"/>
        </w:rPr>
        <w:footnoteReference w:id="4"/>
      </w:r>
      <w:r w:rsidR="00AF23D8">
        <w:rPr>
          <w:lang w:val="en"/>
        </w:rPr>
        <w:t xml:space="preserve"> </w:t>
      </w:r>
      <w:r w:rsidR="00230ABF" w:rsidRPr="0030701B">
        <w:rPr>
          <w:lang w:val="en"/>
        </w:rPr>
        <w:t>must follow the DRIs</w:t>
      </w:r>
      <w:r w:rsidR="00AF23D8">
        <w:rPr>
          <w:lang w:val="en"/>
        </w:rPr>
        <w:t xml:space="preserve">.  The DRIs provide a basis for some other federal nutrition programs and for </w:t>
      </w:r>
      <w:r w:rsidR="00C163C4">
        <w:rPr>
          <w:lang w:val="en"/>
        </w:rPr>
        <w:t xml:space="preserve">certain </w:t>
      </w:r>
      <w:r w:rsidR="00AF23D8">
        <w:rPr>
          <w:lang w:val="en"/>
        </w:rPr>
        <w:t>standards in hospitals.</w:t>
      </w:r>
    </w:p>
    <w:p w:rsidR="00DB20E5" w:rsidRPr="00153F47" w:rsidRDefault="001A7C2E" w:rsidP="00DB20E5">
      <w:pPr>
        <w:pStyle w:val="Default"/>
        <w:rPr>
          <w:rFonts w:asciiTheme="minorHAnsi" w:hAnsiTheme="minorHAnsi"/>
          <w:sz w:val="22"/>
          <w:szCs w:val="22"/>
        </w:rPr>
      </w:pPr>
      <w:r>
        <w:rPr>
          <w:rFonts w:asciiTheme="minorHAnsi" w:hAnsiTheme="minorHAnsi"/>
          <w:sz w:val="22"/>
          <w:szCs w:val="22"/>
        </w:rPr>
        <w:t>If poor quality diet is the primary cause of undernutrition, i</w:t>
      </w:r>
      <w:r w:rsidR="00EB2858">
        <w:rPr>
          <w:rFonts w:asciiTheme="minorHAnsi" w:hAnsiTheme="minorHAnsi"/>
          <w:sz w:val="22"/>
          <w:szCs w:val="22"/>
        </w:rPr>
        <w:t xml:space="preserve">mproving diets </w:t>
      </w:r>
      <w:r>
        <w:rPr>
          <w:rFonts w:asciiTheme="minorHAnsi" w:hAnsiTheme="minorHAnsi"/>
          <w:sz w:val="22"/>
          <w:szCs w:val="22"/>
        </w:rPr>
        <w:t>may involve provision</w:t>
      </w:r>
      <w:r w:rsidR="00EB2858">
        <w:rPr>
          <w:rFonts w:asciiTheme="minorHAnsi" w:hAnsiTheme="minorHAnsi"/>
          <w:sz w:val="22"/>
          <w:szCs w:val="22"/>
        </w:rPr>
        <w:t xml:space="preserve"> of health</w:t>
      </w:r>
      <w:r>
        <w:rPr>
          <w:rFonts w:asciiTheme="minorHAnsi" w:hAnsiTheme="minorHAnsi"/>
          <w:sz w:val="22"/>
          <w:szCs w:val="22"/>
        </w:rPr>
        <w:t>y</w:t>
      </w:r>
      <w:r w:rsidR="00EB2858">
        <w:rPr>
          <w:rFonts w:asciiTheme="minorHAnsi" w:hAnsiTheme="minorHAnsi"/>
          <w:sz w:val="22"/>
          <w:szCs w:val="22"/>
        </w:rPr>
        <w:t xml:space="preserve"> meals and meal enhancements for those who </w:t>
      </w:r>
      <w:r>
        <w:rPr>
          <w:rFonts w:asciiTheme="minorHAnsi" w:hAnsiTheme="minorHAnsi"/>
          <w:sz w:val="22"/>
          <w:szCs w:val="22"/>
        </w:rPr>
        <w:t>are likely to</w:t>
      </w:r>
      <w:r w:rsidR="00EB2858">
        <w:rPr>
          <w:rFonts w:asciiTheme="minorHAnsi" w:hAnsiTheme="minorHAnsi"/>
          <w:sz w:val="22"/>
          <w:szCs w:val="22"/>
        </w:rPr>
        <w:t xml:space="preserve"> respo</w:t>
      </w:r>
      <w:r>
        <w:rPr>
          <w:rFonts w:asciiTheme="minorHAnsi" w:hAnsiTheme="minorHAnsi"/>
          <w:sz w:val="22"/>
          <w:szCs w:val="22"/>
        </w:rPr>
        <w:t>nd</w:t>
      </w:r>
      <w:r w:rsidR="00EB2858">
        <w:rPr>
          <w:rFonts w:asciiTheme="minorHAnsi" w:hAnsiTheme="minorHAnsi"/>
          <w:sz w:val="22"/>
          <w:szCs w:val="22"/>
        </w:rPr>
        <w:t xml:space="preserve"> to these interventions</w:t>
      </w:r>
      <w:r w:rsidR="0050241E">
        <w:rPr>
          <w:rFonts w:asciiTheme="minorHAnsi" w:hAnsiTheme="minorHAnsi"/>
          <w:sz w:val="22"/>
          <w:szCs w:val="22"/>
        </w:rPr>
        <w:t>.</w:t>
      </w:r>
      <w:r w:rsidR="004C5483">
        <w:rPr>
          <w:rFonts w:asciiTheme="minorHAnsi" w:hAnsiTheme="minorHAnsi"/>
          <w:sz w:val="22"/>
          <w:szCs w:val="22"/>
        </w:rPr>
        <w:t xml:space="preserve"> </w:t>
      </w:r>
      <w:r w:rsidR="005C66BA">
        <w:rPr>
          <w:rFonts w:asciiTheme="minorHAnsi" w:hAnsiTheme="minorHAnsi"/>
          <w:sz w:val="22"/>
          <w:szCs w:val="22"/>
        </w:rPr>
        <w:t>Addressing</w:t>
      </w:r>
      <w:r w:rsidR="00C57447" w:rsidRPr="00153F47">
        <w:rPr>
          <w:rFonts w:asciiTheme="minorHAnsi" w:hAnsiTheme="minorHAnsi"/>
          <w:sz w:val="22"/>
          <w:szCs w:val="22"/>
        </w:rPr>
        <w:t xml:space="preserve"> malnutrition complicated by overweight or obesity is more complex because the appropriate responses to these conditions are n</w:t>
      </w:r>
      <w:r w:rsidR="00867D82">
        <w:rPr>
          <w:rFonts w:asciiTheme="minorHAnsi" w:hAnsiTheme="minorHAnsi"/>
          <w:sz w:val="22"/>
          <w:szCs w:val="22"/>
        </w:rPr>
        <w:t>ot clear in the literature</w:t>
      </w:r>
      <w:r w:rsidR="00C57447" w:rsidRPr="00153F47">
        <w:rPr>
          <w:rFonts w:asciiTheme="minorHAnsi" w:hAnsiTheme="minorHAnsi"/>
          <w:sz w:val="22"/>
          <w:szCs w:val="22"/>
        </w:rPr>
        <w:t>.</w:t>
      </w:r>
      <w:r w:rsidR="00C23B2F">
        <w:rPr>
          <w:rFonts w:asciiTheme="minorHAnsi" w:hAnsiTheme="minorHAnsi"/>
          <w:sz w:val="22"/>
          <w:szCs w:val="22"/>
        </w:rPr>
        <w:t xml:space="preserve"> </w:t>
      </w:r>
    </w:p>
    <w:p w:rsidR="00E61CC5" w:rsidRPr="00B53104" w:rsidRDefault="00B53104" w:rsidP="00B53104">
      <w:pPr>
        <w:pStyle w:val="Heading1"/>
        <w:ind w:left="720"/>
        <w:rPr>
          <w:rFonts w:asciiTheme="minorHAnsi" w:hAnsiTheme="minorHAnsi"/>
          <w:color w:val="auto"/>
          <w:sz w:val="22"/>
          <w:szCs w:val="22"/>
        </w:rPr>
      </w:pPr>
      <w:r>
        <w:rPr>
          <w:rFonts w:asciiTheme="minorHAnsi" w:hAnsiTheme="minorHAnsi"/>
          <w:color w:val="auto"/>
          <w:sz w:val="22"/>
          <w:szCs w:val="22"/>
        </w:rPr>
        <w:t>3.c</w:t>
      </w:r>
      <w:r w:rsidR="00443AA8">
        <w:rPr>
          <w:rFonts w:asciiTheme="minorHAnsi" w:hAnsiTheme="minorHAnsi"/>
          <w:color w:val="auto"/>
          <w:sz w:val="22"/>
          <w:szCs w:val="22"/>
        </w:rPr>
        <w:t>.</w:t>
      </w:r>
      <w:r w:rsidR="006C6527" w:rsidRPr="00B53104">
        <w:rPr>
          <w:rFonts w:asciiTheme="minorHAnsi" w:hAnsiTheme="minorHAnsi"/>
          <w:color w:val="auto"/>
          <w:sz w:val="22"/>
          <w:szCs w:val="22"/>
        </w:rPr>
        <w:t xml:space="preserve"> </w:t>
      </w:r>
      <w:r w:rsidR="00E61CC5" w:rsidRPr="00B53104">
        <w:rPr>
          <w:rFonts w:asciiTheme="minorHAnsi" w:hAnsiTheme="minorHAnsi"/>
          <w:color w:val="auto"/>
          <w:sz w:val="22"/>
          <w:szCs w:val="22"/>
        </w:rPr>
        <w:t>Meal</w:t>
      </w:r>
      <w:r w:rsidR="006702CD" w:rsidRPr="00B53104">
        <w:rPr>
          <w:rFonts w:asciiTheme="minorHAnsi" w:hAnsiTheme="minorHAnsi"/>
          <w:color w:val="auto"/>
          <w:sz w:val="22"/>
          <w:szCs w:val="22"/>
        </w:rPr>
        <w:t>s and their</w:t>
      </w:r>
      <w:r w:rsidR="00E61CC5" w:rsidRPr="00B53104">
        <w:rPr>
          <w:rFonts w:asciiTheme="minorHAnsi" w:hAnsiTheme="minorHAnsi"/>
          <w:color w:val="auto"/>
          <w:sz w:val="22"/>
          <w:szCs w:val="22"/>
        </w:rPr>
        <w:t xml:space="preserve"> Enhancement </w:t>
      </w:r>
    </w:p>
    <w:p w:rsidR="00E61CC5" w:rsidRPr="00153F47" w:rsidRDefault="00E61CC5" w:rsidP="003F2746">
      <w:pPr>
        <w:spacing w:line="240" w:lineRule="auto"/>
      </w:pPr>
      <w:r w:rsidRPr="00153F47">
        <w:t>Ma</w:t>
      </w:r>
      <w:r w:rsidR="00FE59E7" w:rsidRPr="00153F47">
        <w:t>n</w:t>
      </w:r>
      <w:r w:rsidR="00D667A1">
        <w:t>y steps can be taken to improve</w:t>
      </w:r>
      <w:r w:rsidR="00F74C3C">
        <w:t xml:space="preserve"> community-living</w:t>
      </w:r>
      <w:r w:rsidRPr="00153F47">
        <w:t xml:space="preserve"> older adults’ </w:t>
      </w:r>
      <w:r w:rsidR="00FE59E7" w:rsidRPr="00153F47">
        <w:t>nutrition intake</w:t>
      </w:r>
      <w:r w:rsidRPr="00153F47">
        <w:t xml:space="preserve">. </w:t>
      </w:r>
      <w:r w:rsidR="00FE59E7" w:rsidRPr="00153F47">
        <w:t xml:space="preserve">Steps include improving the eating environment, providing assistance with eating when needed, dietary advice, </w:t>
      </w:r>
      <w:r w:rsidR="00F74C3C">
        <w:t>fortifying meals, and offering</w:t>
      </w:r>
      <w:r w:rsidR="00FE59E7" w:rsidRPr="00153F47">
        <w:t xml:space="preserve"> energy dense snacks between meals (N</w:t>
      </w:r>
      <w:r w:rsidRPr="00153F47">
        <w:t>ieuwenhuizen et al., 2010).  Between meal snacks</w:t>
      </w:r>
      <w:r w:rsidR="00AF23D8">
        <w:t xml:space="preserve"> may</w:t>
      </w:r>
      <w:r w:rsidRPr="00153F47">
        <w:t xml:space="preserve"> increase to</w:t>
      </w:r>
      <w:r w:rsidR="003724F9">
        <w:t>tal energy inta</w:t>
      </w:r>
      <w:r w:rsidR="008C454B">
        <w:t>ke as could</w:t>
      </w:r>
      <w:r w:rsidR="003724F9">
        <w:t xml:space="preserve"> older adult</w:t>
      </w:r>
      <w:r w:rsidRPr="00153F47">
        <w:t xml:space="preserve">s’ participation in </w:t>
      </w:r>
      <w:r w:rsidR="006C6527" w:rsidRPr="00153F47">
        <w:t xml:space="preserve">programs offering </w:t>
      </w:r>
      <w:r w:rsidRPr="00153F47">
        <w:t>delivery of locally grown fruits and vegetables.</w:t>
      </w:r>
      <w:r w:rsidR="006702CD" w:rsidRPr="00153F47">
        <w:t xml:space="preserve"> </w:t>
      </w:r>
      <w:r w:rsidR="00D23411" w:rsidRPr="00153F47">
        <w:t xml:space="preserve"> The body of evidence is </w:t>
      </w:r>
      <w:r w:rsidR="0068532B" w:rsidRPr="00153F47">
        <w:t>larges</w:t>
      </w:r>
      <w:r w:rsidR="00D23411" w:rsidRPr="00153F47">
        <w:t>t</w:t>
      </w:r>
      <w:r w:rsidR="006702CD" w:rsidRPr="00153F47">
        <w:t xml:space="preserve"> for providing </w:t>
      </w:r>
      <w:r w:rsidR="004C5483">
        <w:t>healthy, home-delivered meals.  S</w:t>
      </w:r>
      <w:r w:rsidR="006702CD" w:rsidRPr="00153F47">
        <w:t xml:space="preserve">tudies </w:t>
      </w:r>
      <w:r w:rsidRPr="00153F47">
        <w:t>show that the</w:t>
      </w:r>
      <w:r w:rsidR="00FE59E7" w:rsidRPr="00153F47">
        <w:t>se meals</w:t>
      </w:r>
      <w:r w:rsidRPr="00153F47">
        <w:t xml:space="preserve"> </w:t>
      </w:r>
      <w:r w:rsidR="00915712" w:rsidRPr="00153F47">
        <w:t xml:space="preserve">can </w:t>
      </w:r>
      <w:r w:rsidRPr="00153F47">
        <w:t>improve nutrition</w:t>
      </w:r>
      <w:r w:rsidR="000A3BA2" w:rsidRPr="00153F47">
        <w:t xml:space="preserve"> and other outcomes</w:t>
      </w:r>
      <w:r w:rsidR="006702CD" w:rsidRPr="00153F47">
        <w:t xml:space="preserve"> for older adults</w:t>
      </w:r>
      <w:r w:rsidRPr="00153F47">
        <w:t>.</w:t>
      </w:r>
    </w:p>
    <w:p w:rsidR="00915712" w:rsidRPr="00153F47" w:rsidRDefault="00610DD4" w:rsidP="00915712">
      <w:pPr>
        <w:pStyle w:val="ListParagraph"/>
        <w:numPr>
          <w:ilvl w:val="0"/>
          <w:numId w:val="7"/>
        </w:numPr>
        <w:autoSpaceDE w:val="0"/>
        <w:autoSpaceDN w:val="0"/>
        <w:adjustRightInd w:val="0"/>
        <w:spacing w:after="0" w:line="240" w:lineRule="auto"/>
        <w:rPr>
          <w:rFonts w:cs="Times New Roman"/>
        </w:rPr>
      </w:pPr>
      <w:r>
        <w:t xml:space="preserve">A </w:t>
      </w:r>
      <w:r w:rsidR="00915712" w:rsidRPr="00153F47">
        <w:t>2015 review of home</w:t>
      </w:r>
      <w:r w:rsidR="00D667A1">
        <w:t xml:space="preserve">-delivered meals studies </w:t>
      </w:r>
      <w:r w:rsidR="00915712" w:rsidRPr="00153F47">
        <w:t xml:space="preserve">from 1959-2015 found 13 quasi-experimental studies of various interventions, which included add-ons of snacks, more food choice, and </w:t>
      </w:r>
      <w:r w:rsidR="00BE4698">
        <w:t>nutrition</w:t>
      </w:r>
      <w:r w:rsidR="00915712" w:rsidRPr="00153F47">
        <w:t xml:space="preserve"> education. </w:t>
      </w:r>
      <w:r w:rsidR="002D7FB7">
        <w:t xml:space="preserve"> </w:t>
      </w:r>
      <w:r w:rsidR="00915712" w:rsidRPr="00153F47">
        <w:t xml:space="preserve">These interventions improved participants’ </w:t>
      </w:r>
      <w:r w:rsidR="00BE4698">
        <w:t>nutrition</w:t>
      </w:r>
      <w:r w:rsidR="00915712" w:rsidRPr="00153F47">
        <w:t xml:space="preserve"> and functional status, hospital readmission rates, and quality of life.  Three studies found that those receiving meals, when compared to waitlist control groups, had better outcomes </w:t>
      </w:r>
      <w:r w:rsidR="00D667A1">
        <w:t>for</w:t>
      </w:r>
      <w:r w:rsidR="00915712" w:rsidRPr="00153F47">
        <w:t xml:space="preserve"> food intake and food insecurity.</w:t>
      </w:r>
      <w:r w:rsidR="00023FBB">
        <w:rPr>
          <w:rStyle w:val="FootnoteReference"/>
        </w:rPr>
        <w:footnoteReference w:id="5"/>
      </w:r>
      <w:r w:rsidR="00915712" w:rsidRPr="00153F47">
        <w:t xml:space="preserve"> </w:t>
      </w:r>
      <w:r w:rsidR="002D7FB7">
        <w:t xml:space="preserve"> </w:t>
      </w:r>
      <w:r>
        <w:t>A randomize</w:t>
      </w:r>
      <w:r w:rsidR="008C454B">
        <w:t>d</w:t>
      </w:r>
      <w:r>
        <w:t>-controlled trial found that increasing the nutrient density of home-delivered meals improved participants</w:t>
      </w:r>
      <w:r w:rsidR="00A30336">
        <w:t>’</w:t>
      </w:r>
      <w:r>
        <w:t xml:space="preserve"> food-energy uptake </w:t>
      </w:r>
      <w:r w:rsidR="00915712" w:rsidRPr="00153F47">
        <w:t>(Campbell et al., 2015).</w:t>
      </w:r>
    </w:p>
    <w:p w:rsidR="00915712" w:rsidRPr="00153F47" w:rsidRDefault="00915712" w:rsidP="00915712">
      <w:pPr>
        <w:pStyle w:val="ListParagraph"/>
        <w:numPr>
          <w:ilvl w:val="0"/>
          <w:numId w:val="7"/>
        </w:numPr>
        <w:spacing w:line="240" w:lineRule="auto"/>
      </w:pPr>
      <w:r w:rsidRPr="00153F47">
        <w:t>Six of eight studies of the impact of home-delivered meals found that the</w:t>
      </w:r>
      <w:r w:rsidR="00A30336">
        <w:t>y</w:t>
      </w:r>
      <w:r w:rsidRPr="00153F47">
        <w:t xml:space="preserve"> improved diet quality, increased nutrient intake, and reduced food insecurity and </w:t>
      </w:r>
      <w:r w:rsidR="00BE4698">
        <w:t>nutrition</w:t>
      </w:r>
      <w:r w:rsidR="00257EB8">
        <w:t xml:space="preserve"> risk.  Other</w:t>
      </w:r>
      <w:r w:rsidRPr="00153F47">
        <w:t xml:space="preserve"> outcomes included</w:t>
      </w:r>
      <w:r w:rsidR="00D667A1">
        <w:t xml:space="preserve"> improved </w:t>
      </w:r>
      <w:r w:rsidR="00257EB8">
        <w:t xml:space="preserve">compliance </w:t>
      </w:r>
      <w:r w:rsidR="00D667A1">
        <w:t xml:space="preserve">with dietary guidelines, </w:t>
      </w:r>
      <w:r w:rsidRPr="00153F47">
        <w:t>quality of life</w:t>
      </w:r>
      <w:r w:rsidR="00257EB8">
        <w:t xml:space="preserve"> and</w:t>
      </w:r>
      <w:r w:rsidR="00257EB8" w:rsidRPr="00153F47">
        <w:t xml:space="preserve"> social oppo</w:t>
      </w:r>
      <w:r w:rsidR="00257EB8">
        <w:t>rtunities</w:t>
      </w:r>
      <w:r w:rsidR="008C454B">
        <w:t xml:space="preserve"> (Zhu and</w:t>
      </w:r>
      <w:r w:rsidRPr="00153F47">
        <w:t xml:space="preserve"> An, 2014).</w:t>
      </w:r>
    </w:p>
    <w:p w:rsidR="00915712" w:rsidRPr="00153F47" w:rsidRDefault="00915712" w:rsidP="00915712">
      <w:pPr>
        <w:pStyle w:val="ListParagraph"/>
        <w:numPr>
          <w:ilvl w:val="0"/>
          <w:numId w:val="7"/>
        </w:numPr>
        <w:spacing w:line="240" w:lineRule="auto"/>
      </w:pPr>
      <w:r w:rsidRPr="00153F47">
        <w:t>Researchers used a randomized-controlled trial to compare traditional home-delivered meals (one meal, 5 days a week) to a new intervention (3 meals a day, 7 days a week and 14 snacks delivered weekly with daily phone call</w:t>
      </w:r>
      <w:r w:rsidR="00A30336">
        <w:t>s</w:t>
      </w:r>
      <w:r w:rsidRPr="00153F47">
        <w:t xml:space="preserve"> from an older volunteer). </w:t>
      </w:r>
      <w:r w:rsidR="002D7FB7">
        <w:t xml:space="preserve"> </w:t>
      </w:r>
      <w:r w:rsidRPr="00153F47">
        <w:t xml:space="preserve">Participants in the new model gained significantly more weight at 3 and 6 months than those in the traditional model.  Scores on a </w:t>
      </w:r>
      <w:r w:rsidR="00BE4698">
        <w:t>nutrition</w:t>
      </w:r>
      <w:r w:rsidRPr="00153F47">
        <w:t xml:space="preserve"> assessment improved significantly faster</w:t>
      </w:r>
      <w:r w:rsidR="00190138">
        <w:t xml:space="preserve"> for participants</w:t>
      </w:r>
      <w:r w:rsidRPr="00153F47">
        <w:t xml:space="preserve"> in the new model.  Malnourished participants in the new model did better at 6 months (Kretser et al., 2003).  </w:t>
      </w:r>
    </w:p>
    <w:p w:rsidR="009A1159" w:rsidRDefault="00E61CC5" w:rsidP="009A1159">
      <w:pPr>
        <w:pStyle w:val="ListParagraph"/>
        <w:numPr>
          <w:ilvl w:val="0"/>
          <w:numId w:val="7"/>
        </w:numPr>
        <w:spacing w:line="240" w:lineRule="auto"/>
      </w:pPr>
      <w:r w:rsidRPr="00153F47">
        <w:t xml:space="preserve">A Canadian study found a significant reduction in </w:t>
      </w:r>
      <w:r w:rsidR="00BE4698">
        <w:t>nutrition</w:t>
      </w:r>
      <w:r w:rsidRPr="00153F47">
        <w:t xml:space="preserve"> risk for those in high risk categories after participating in a home-delivered meal program (Silver, 2009.)</w:t>
      </w:r>
    </w:p>
    <w:p w:rsidR="009A1159" w:rsidRDefault="00E61CC5" w:rsidP="009A1159">
      <w:pPr>
        <w:pStyle w:val="ListParagraph"/>
        <w:numPr>
          <w:ilvl w:val="0"/>
          <w:numId w:val="7"/>
        </w:numPr>
        <w:spacing w:line="240" w:lineRule="auto"/>
      </w:pPr>
      <w:r w:rsidRPr="00153F47">
        <w:t>Adding breakfast to home-delivered meal programs in 5 states increased total dietary intake</w:t>
      </w:r>
      <w:r w:rsidR="00915712" w:rsidRPr="00153F47">
        <w:t xml:space="preserve"> for participants</w:t>
      </w:r>
      <w:r w:rsidRPr="00153F47">
        <w:t xml:space="preserve">, compared to those receiving one meal a day (Silver, 2009). </w:t>
      </w:r>
    </w:p>
    <w:p w:rsidR="009A1159" w:rsidRDefault="009A1159" w:rsidP="009A1159">
      <w:pPr>
        <w:pStyle w:val="ListParagraph"/>
        <w:spacing w:line="240" w:lineRule="auto"/>
      </w:pPr>
    </w:p>
    <w:p w:rsidR="00C048BB" w:rsidRPr="009A1159" w:rsidRDefault="00E22864" w:rsidP="009A1159">
      <w:pPr>
        <w:pStyle w:val="ListParagraph"/>
        <w:numPr>
          <w:ilvl w:val="0"/>
          <w:numId w:val="29"/>
        </w:numPr>
        <w:spacing w:before="480" w:line="240" w:lineRule="auto"/>
        <w:rPr>
          <w:b/>
        </w:rPr>
      </w:pPr>
      <w:r w:rsidRPr="009A1159">
        <w:rPr>
          <w:rStyle w:val="Heading1Char"/>
          <w:rFonts w:asciiTheme="minorHAnsi" w:hAnsiTheme="minorHAnsi"/>
          <w:color w:val="auto"/>
          <w:sz w:val="22"/>
          <w:szCs w:val="22"/>
        </w:rPr>
        <w:t xml:space="preserve">Federal Nutrition </w:t>
      </w:r>
      <w:r w:rsidR="00194C51" w:rsidRPr="009A1159">
        <w:rPr>
          <w:rStyle w:val="Heading1Char"/>
          <w:rFonts w:asciiTheme="minorHAnsi" w:hAnsiTheme="minorHAnsi"/>
          <w:color w:val="auto"/>
          <w:sz w:val="22"/>
          <w:szCs w:val="22"/>
        </w:rPr>
        <w:t xml:space="preserve">Assistance </w:t>
      </w:r>
      <w:r w:rsidR="00C048BB" w:rsidRPr="009A1159">
        <w:rPr>
          <w:rStyle w:val="Heading1Char"/>
          <w:rFonts w:asciiTheme="minorHAnsi" w:hAnsiTheme="minorHAnsi"/>
          <w:color w:val="auto"/>
          <w:sz w:val="22"/>
          <w:szCs w:val="22"/>
        </w:rPr>
        <w:t>Programs</w:t>
      </w:r>
      <w:r w:rsidR="00C048BB" w:rsidRPr="009A1159">
        <w:rPr>
          <w:b/>
        </w:rPr>
        <w:t xml:space="preserve"> </w:t>
      </w:r>
    </w:p>
    <w:p w:rsidR="00A34740" w:rsidRDefault="00E22864" w:rsidP="001021DE">
      <w:pPr>
        <w:spacing w:line="240" w:lineRule="auto"/>
      </w:pPr>
      <w:r>
        <w:t xml:space="preserve">According to the evidence, </w:t>
      </w:r>
      <w:r w:rsidR="00A34740">
        <w:t>certain</w:t>
      </w:r>
      <w:r w:rsidR="00687ADE">
        <w:t xml:space="preserve"> f</w:t>
      </w:r>
      <w:r w:rsidR="00B509A0" w:rsidRPr="00153F47">
        <w:t xml:space="preserve">ederal </w:t>
      </w:r>
      <w:r w:rsidR="00687ADE">
        <w:t xml:space="preserve">nutrition assistance </w:t>
      </w:r>
      <w:r w:rsidR="00B509A0" w:rsidRPr="00153F47">
        <w:t>programs</w:t>
      </w:r>
      <w:r w:rsidR="00A34740">
        <w:t>, which are available under the Older Americans Act</w:t>
      </w:r>
      <w:r w:rsidR="005B2EA5">
        <w:t xml:space="preserve"> (OAA)</w:t>
      </w:r>
      <w:r w:rsidR="00A34740">
        <w:t xml:space="preserve">, </w:t>
      </w:r>
      <w:r w:rsidR="00687ADE">
        <w:t>help</w:t>
      </w:r>
      <w:r w:rsidR="000544EA" w:rsidRPr="00153F47">
        <w:t xml:space="preserve"> older adults in meeting their nutrition needs</w:t>
      </w:r>
      <w:r w:rsidR="00422721">
        <w:t xml:space="preserve">.  </w:t>
      </w:r>
      <w:r w:rsidR="005B2EA5">
        <w:t xml:space="preserve"> The OAA funds three </w:t>
      </w:r>
      <w:r w:rsidR="005B2EA5">
        <w:lastRenderedPageBreak/>
        <w:t>programs.  The Home-delivered and Congregate Nutrition Services Programs provided meals to about 2.4 million people, among other services, in Federal Fiscal Year 2014.</w:t>
      </w:r>
      <w:r>
        <w:t xml:space="preserve">  </w:t>
      </w:r>
    </w:p>
    <w:p w:rsidR="00B20EAD" w:rsidRPr="00B53104" w:rsidRDefault="00B53104" w:rsidP="00B53104">
      <w:pPr>
        <w:pStyle w:val="Heading1"/>
        <w:ind w:left="720"/>
        <w:rPr>
          <w:rFonts w:ascii="Calibri" w:hAnsi="Calibri"/>
          <w:sz w:val="22"/>
          <w:szCs w:val="22"/>
        </w:rPr>
      </w:pPr>
      <w:r>
        <w:rPr>
          <w:rFonts w:ascii="Calibri" w:hAnsi="Calibri"/>
          <w:color w:val="auto"/>
          <w:sz w:val="22"/>
          <w:szCs w:val="22"/>
        </w:rPr>
        <w:t>4.a</w:t>
      </w:r>
      <w:r w:rsidR="00443AA8">
        <w:rPr>
          <w:rFonts w:ascii="Calibri" w:hAnsi="Calibri"/>
          <w:color w:val="auto"/>
          <w:sz w:val="22"/>
          <w:szCs w:val="22"/>
        </w:rPr>
        <w:t>.</w:t>
      </w:r>
      <w:r w:rsidR="00B20EAD" w:rsidRPr="00B53104">
        <w:rPr>
          <w:rFonts w:ascii="Calibri" w:hAnsi="Calibri"/>
          <w:color w:val="auto"/>
          <w:sz w:val="22"/>
          <w:szCs w:val="22"/>
        </w:rPr>
        <w:t xml:space="preserve"> Older Americans Act Programs</w:t>
      </w:r>
    </w:p>
    <w:p w:rsidR="001021DE" w:rsidRPr="00153F47" w:rsidRDefault="00B20EAD" w:rsidP="001021DE">
      <w:pPr>
        <w:spacing w:line="240" w:lineRule="auto"/>
      </w:pPr>
      <w:r w:rsidRPr="00153F47">
        <w:t>Title III of the Older Americans Act (OAA) funds nutrition services through three major programs.  These programs’ purposes are to reduce food</w:t>
      </w:r>
      <w:r w:rsidR="00BB58CD" w:rsidRPr="00153F47">
        <w:t xml:space="preserve"> insecurity, promote socialization, </w:t>
      </w:r>
      <w:r w:rsidRPr="00153F47">
        <w:t xml:space="preserve">and </w:t>
      </w:r>
      <w:r w:rsidR="00BB58CD" w:rsidRPr="00153F47">
        <w:t>promote he</w:t>
      </w:r>
      <w:r w:rsidRPr="00153F47">
        <w:t xml:space="preserve">alth and well-being. </w:t>
      </w:r>
      <w:r w:rsidR="00BB58CD" w:rsidRPr="00153F47">
        <w:t xml:space="preserve"> </w:t>
      </w:r>
      <w:r w:rsidRPr="00153F47">
        <w:t xml:space="preserve">Title III </w:t>
      </w:r>
      <w:r w:rsidR="0061421B" w:rsidRPr="00153F47">
        <w:t xml:space="preserve">programs include the: </w:t>
      </w:r>
      <w:r w:rsidR="001343DA">
        <w:t xml:space="preserve">1) </w:t>
      </w:r>
      <w:r w:rsidR="0061421B" w:rsidRPr="00153F47">
        <w:t>Home-deli</w:t>
      </w:r>
      <w:r w:rsidR="00C431D8" w:rsidRPr="00153F47">
        <w:t>vered</w:t>
      </w:r>
      <w:r w:rsidR="001343DA">
        <w:t xml:space="preserve"> Nutrition Services program, 2)</w:t>
      </w:r>
      <w:r w:rsidR="0061421B" w:rsidRPr="00153F47">
        <w:t xml:space="preserve"> </w:t>
      </w:r>
      <w:r w:rsidRPr="00153F47">
        <w:t>Congregate</w:t>
      </w:r>
      <w:r w:rsidR="0061421B" w:rsidRPr="00153F47">
        <w:t xml:space="preserve"> Nutrition Services Program</w:t>
      </w:r>
      <w:r w:rsidR="00C431D8" w:rsidRPr="00153F47">
        <w:t>s</w:t>
      </w:r>
      <w:r w:rsidR="0061421B" w:rsidRPr="00153F47">
        <w:t xml:space="preserve">, and </w:t>
      </w:r>
      <w:r w:rsidR="001343DA">
        <w:t xml:space="preserve">3) </w:t>
      </w:r>
      <w:r w:rsidRPr="00153F47">
        <w:t>Nutrition Services Incentive Program</w:t>
      </w:r>
      <w:r w:rsidR="00D0692E">
        <w:t xml:space="preserve"> (NSIP)</w:t>
      </w:r>
      <w:r w:rsidRPr="00153F47">
        <w:t xml:space="preserve">. </w:t>
      </w:r>
      <w:r w:rsidR="00A02FBD">
        <w:t xml:space="preserve"> </w:t>
      </w:r>
      <w:r w:rsidR="005828DE" w:rsidRPr="00153F47">
        <w:t xml:space="preserve">The </w:t>
      </w:r>
      <w:r w:rsidR="001343DA">
        <w:t>first two</w:t>
      </w:r>
      <w:r w:rsidR="005828DE" w:rsidRPr="00153F47">
        <w:t xml:space="preserve"> </w:t>
      </w:r>
      <w:r w:rsidR="00FD1E32">
        <w:t>program</w:t>
      </w:r>
      <w:r w:rsidR="001343DA">
        <w:t>s</w:t>
      </w:r>
      <w:r w:rsidR="00D0692E">
        <w:t xml:space="preserve"> </w:t>
      </w:r>
      <w:r w:rsidR="005828DE" w:rsidRPr="00153F47">
        <w:t>must comply with</w:t>
      </w:r>
      <w:r w:rsidR="00C431D8" w:rsidRPr="00153F47">
        <w:t xml:space="preserve"> </w:t>
      </w:r>
      <w:r w:rsidR="00C431D8" w:rsidRPr="00153F47">
        <w:rPr>
          <w:i/>
        </w:rPr>
        <w:t>the Dietary Guidelines for Americans 2015-2020</w:t>
      </w:r>
      <w:r w:rsidR="00D0692E">
        <w:t xml:space="preserve"> (USDHHS and</w:t>
      </w:r>
      <w:r w:rsidR="00C431D8" w:rsidRPr="00153F47">
        <w:t xml:space="preserve"> USDA, 2015)</w:t>
      </w:r>
      <w:r w:rsidR="0081358A">
        <w:t xml:space="preserve"> and</w:t>
      </w:r>
      <w:r w:rsidR="005828DE" w:rsidRPr="00153F47">
        <w:t xml:space="preserve"> meal</w:t>
      </w:r>
      <w:r w:rsidR="0081358A">
        <w:t>s</w:t>
      </w:r>
      <w:r w:rsidR="005828DE" w:rsidRPr="00153F47">
        <w:t xml:space="preserve"> must provide 1/3 of </w:t>
      </w:r>
      <w:r w:rsidR="005B6024">
        <w:t xml:space="preserve">the </w:t>
      </w:r>
      <w:r w:rsidR="005828DE" w:rsidRPr="00153F47">
        <w:t xml:space="preserve">recommended </w:t>
      </w:r>
      <w:r w:rsidR="00C431D8" w:rsidRPr="00153F47">
        <w:t>D</w:t>
      </w:r>
      <w:r w:rsidR="005828DE" w:rsidRPr="00153F47">
        <w:t xml:space="preserve">ietary </w:t>
      </w:r>
      <w:r w:rsidR="00C431D8" w:rsidRPr="00153F47">
        <w:t>Reference I</w:t>
      </w:r>
      <w:r w:rsidR="005828DE" w:rsidRPr="00153F47">
        <w:t xml:space="preserve">ntakes, be appealing, and </w:t>
      </w:r>
      <w:r w:rsidR="0081358A">
        <w:t xml:space="preserve">be </w:t>
      </w:r>
      <w:r w:rsidR="005828DE" w:rsidRPr="00153F47">
        <w:t>adjusted to meet special dietary needs of participants (</w:t>
      </w:r>
      <w:r w:rsidR="00604776" w:rsidRPr="00153F47">
        <w:t>Older Americans Act Section 339</w:t>
      </w:r>
      <w:r w:rsidR="00C431D8" w:rsidRPr="00153F47">
        <w:t xml:space="preserve">; </w:t>
      </w:r>
      <w:r w:rsidR="005828DE" w:rsidRPr="00153F47">
        <w:t xml:space="preserve">Lloyd and Wellman, 2015).  </w:t>
      </w:r>
    </w:p>
    <w:p w:rsidR="0061421B" w:rsidRPr="00153F47" w:rsidRDefault="000544EA" w:rsidP="003F2746">
      <w:pPr>
        <w:spacing w:line="240" w:lineRule="auto"/>
      </w:pPr>
      <w:r w:rsidRPr="00153F47">
        <w:t>Nutrition service</w:t>
      </w:r>
      <w:r w:rsidR="005828DE" w:rsidRPr="00153F47">
        <w:t xml:space="preserve"> providers</w:t>
      </w:r>
      <w:r w:rsidR="00F64156">
        <w:t>, whether providing home-delivered or congregate meals, must offer</w:t>
      </w:r>
      <w:r w:rsidR="005828DE" w:rsidRPr="00153F47">
        <w:t xml:space="preserve"> at least one meal per day, five or more days per week, except </w:t>
      </w:r>
      <w:r w:rsidR="00FC0F5E" w:rsidRPr="00153F47">
        <w:t xml:space="preserve">those in </w:t>
      </w:r>
      <w:r w:rsidR="005828DE" w:rsidRPr="00153F47">
        <w:t>rural areas, which may offer fewer meals (</w:t>
      </w:r>
      <w:r w:rsidR="007E76C4">
        <w:t>OAA s</w:t>
      </w:r>
      <w:r w:rsidR="00F64156">
        <w:t>ections 331,336</w:t>
      </w:r>
      <w:r w:rsidR="00604776" w:rsidRPr="00153F47">
        <w:t xml:space="preserve">; </w:t>
      </w:r>
      <w:r w:rsidR="005828DE" w:rsidRPr="00153F47">
        <w:t xml:space="preserve">Colello, 2014). </w:t>
      </w:r>
      <w:r w:rsidR="0081358A">
        <w:t xml:space="preserve"> </w:t>
      </w:r>
      <w:r w:rsidRPr="00153F47">
        <w:t xml:space="preserve">Nutrition service providers </w:t>
      </w:r>
      <w:r w:rsidR="0061421B" w:rsidRPr="00153F47">
        <w:t>must offer nutrition screening and education and</w:t>
      </w:r>
      <w:r w:rsidR="001343DA">
        <w:t>, when</w:t>
      </w:r>
      <w:r w:rsidR="0061421B" w:rsidRPr="00153F47">
        <w:t xml:space="preserve"> appropriate, nutr</w:t>
      </w:r>
      <w:r w:rsidR="005828DE" w:rsidRPr="00153F47">
        <w:t>ition assessment and counseling</w:t>
      </w:r>
      <w:r w:rsidR="0061421B" w:rsidRPr="00153F47">
        <w:t xml:space="preserve"> (</w:t>
      </w:r>
      <w:r w:rsidR="007E76C4">
        <w:t>OAA s</w:t>
      </w:r>
      <w:r w:rsidR="00F64156">
        <w:t>ections 331,</w:t>
      </w:r>
      <w:r w:rsidR="00F64156" w:rsidRPr="00F64156">
        <w:t>336</w:t>
      </w:r>
      <w:r w:rsidR="00F64156">
        <w:t xml:space="preserve">,339; </w:t>
      </w:r>
      <w:r w:rsidR="0061421B" w:rsidRPr="00153F47">
        <w:t>Colello, 2011)</w:t>
      </w:r>
      <w:r w:rsidR="005828DE" w:rsidRPr="00153F47">
        <w:t>.</w:t>
      </w:r>
      <w:r w:rsidR="00A93E37" w:rsidRPr="00153F47">
        <w:t xml:space="preserve"> </w:t>
      </w:r>
      <w:r w:rsidR="0081358A">
        <w:t xml:space="preserve"> </w:t>
      </w:r>
      <w:r w:rsidR="00F64156" w:rsidRPr="00153F47">
        <w:t>A variety of sites provide</w:t>
      </w:r>
      <w:r w:rsidR="00F64156">
        <w:t xml:space="preserve"> meals as part of the</w:t>
      </w:r>
      <w:r w:rsidR="00F64156" w:rsidRPr="00153F47">
        <w:t xml:space="preserve"> </w:t>
      </w:r>
      <w:r w:rsidR="00F64156">
        <w:t>Congregate Nutrition Services Program</w:t>
      </w:r>
      <w:r w:rsidR="00F64156" w:rsidRPr="00153F47">
        <w:t xml:space="preserve">, including senior centers, community centers, schools and adult day centers.  </w:t>
      </w:r>
      <w:r w:rsidR="00A93E37" w:rsidRPr="00153F47">
        <w:t>The N</w:t>
      </w:r>
      <w:r w:rsidR="00D0692E">
        <w:t xml:space="preserve">SIP </w:t>
      </w:r>
      <w:r w:rsidR="007E76C4">
        <w:t xml:space="preserve">supplements the OAA home-delivered and congregate nutrition services programs. </w:t>
      </w:r>
      <w:r w:rsidR="00A02FBD">
        <w:t xml:space="preserve"> </w:t>
      </w:r>
      <w:r w:rsidR="007E76C4">
        <w:t>S</w:t>
      </w:r>
      <w:r w:rsidR="00604776" w:rsidRPr="00153F47">
        <w:t>tates, territories and Indian Tribal Organizations may use</w:t>
      </w:r>
      <w:r w:rsidR="00D0692E">
        <w:t xml:space="preserve"> </w:t>
      </w:r>
      <w:r w:rsidR="007E76C4">
        <w:t>NSIP</w:t>
      </w:r>
      <w:r w:rsidR="00D0692E">
        <w:t xml:space="preserve"> funds</w:t>
      </w:r>
      <w:r w:rsidR="00604776" w:rsidRPr="00153F47">
        <w:t xml:space="preserve"> to purchase foo</w:t>
      </w:r>
      <w:r w:rsidR="00D0692E">
        <w:t>d or receive commodities</w:t>
      </w:r>
      <w:r w:rsidR="00A93E37" w:rsidRPr="00153F47">
        <w:t xml:space="preserve"> (</w:t>
      </w:r>
      <w:r w:rsidR="007E76C4">
        <w:t>OAA s</w:t>
      </w:r>
      <w:r w:rsidR="00604776" w:rsidRPr="00153F47">
        <w:t xml:space="preserve">ection 311; </w:t>
      </w:r>
      <w:r w:rsidR="00A93E37" w:rsidRPr="00153F47">
        <w:t>Colello, 2011).</w:t>
      </w:r>
      <w:r w:rsidR="00604776" w:rsidRPr="00153F47">
        <w:t xml:space="preserve"> </w:t>
      </w:r>
      <w:r w:rsidR="0081358A">
        <w:t xml:space="preserve"> </w:t>
      </w:r>
      <w:r w:rsidR="00AF23D8" w:rsidRPr="00AF23D8">
        <w:t>In Federal Fiscal Year 2014, 837,000 OAA Home-Delivered Nutrition Services Program participants received 138 million home-delivered meals, representing 34% of total OAA Nutrition Program participants and 63% of total OAA Nutrition Program meals served</w:t>
      </w:r>
      <w:r w:rsidR="00AF23D8">
        <w:t xml:space="preserve">. </w:t>
      </w:r>
      <w:r w:rsidR="00BB5E5A" w:rsidRPr="00153F47">
        <w:t xml:space="preserve"> </w:t>
      </w:r>
      <w:r w:rsidR="008E05B8" w:rsidRPr="00153F47">
        <w:t xml:space="preserve">Congregate settings delivered 80 </w:t>
      </w:r>
      <w:r w:rsidR="00BB5E5A" w:rsidRPr="00153F47">
        <w:t>million</w:t>
      </w:r>
      <w:r w:rsidR="005B6024">
        <w:t xml:space="preserve"> meals</w:t>
      </w:r>
      <w:r w:rsidR="008E05B8" w:rsidRPr="00153F47">
        <w:t xml:space="preserve"> to 1.6 million </w:t>
      </w:r>
      <w:r w:rsidR="005B6024">
        <w:t>program p</w:t>
      </w:r>
      <w:r w:rsidR="008E05B8" w:rsidRPr="00153F47">
        <w:t xml:space="preserve">articipants </w:t>
      </w:r>
      <w:r w:rsidR="00A31FB2" w:rsidRPr="00153F47">
        <w:t>(</w:t>
      </w:r>
      <w:r w:rsidR="00835101" w:rsidRPr="00153F47">
        <w:t>DHHS/ACL, 2016</w:t>
      </w:r>
      <w:r w:rsidR="00A31FB2" w:rsidRPr="00153F47">
        <w:t>)</w:t>
      </w:r>
      <w:r w:rsidR="00A93E37" w:rsidRPr="00153F47">
        <w:t>.</w:t>
      </w:r>
      <w:r w:rsidR="00C01312" w:rsidRPr="00153F47">
        <w:t xml:space="preserve"> </w:t>
      </w:r>
    </w:p>
    <w:p w:rsidR="00A31FB2" w:rsidRPr="00153F47" w:rsidRDefault="0081358A" w:rsidP="003F2746">
      <w:pPr>
        <w:spacing w:line="240" w:lineRule="auto"/>
      </w:pPr>
      <w:r>
        <w:t>People age</w:t>
      </w:r>
      <w:r w:rsidR="005B3981" w:rsidRPr="00153F47">
        <w:t xml:space="preserve"> 60 and over and their spouses of any age are eligible</w:t>
      </w:r>
      <w:r w:rsidR="00953790" w:rsidRPr="00153F47">
        <w:t xml:space="preserve"> for OAA-funded </w:t>
      </w:r>
      <w:r w:rsidR="000544EA" w:rsidRPr="00153F47">
        <w:t>nutrition programs</w:t>
      </w:r>
      <w:r w:rsidR="005B3981" w:rsidRPr="00153F47">
        <w:t>.  People must be homebound, frail, or isolated</w:t>
      </w:r>
      <w:r w:rsidR="000544EA" w:rsidRPr="00153F47">
        <w:t xml:space="preserve"> to receive home-delivered services</w:t>
      </w:r>
      <w:r w:rsidR="005B3981" w:rsidRPr="00153F47">
        <w:t xml:space="preserve">.  </w:t>
      </w:r>
      <w:r w:rsidR="00953790" w:rsidRPr="00153F47">
        <w:t>In addition, p</w:t>
      </w:r>
      <w:r w:rsidR="00A31FB2" w:rsidRPr="00153F47">
        <w:t>eople under</w:t>
      </w:r>
      <w:r w:rsidR="000544EA" w:rsidRPr="00153F47">
        <w:t xml:space="preserve"> age 60 </w:t>
      </w:r>
      <w:r w:rsidR="007E76C4">
        <w:t xml:space="preserve">with disabilities </w:t>
      </w:r>
      <w:r w:rsidR="000544EA" w:rsidRPr="00153F47">
        <w:t>can participate in nutrition</w:t>
      </w:r>
      <w:r w:rsidR="00A31FB2" w:rsidRPr="00153F47">
        <w:t xml:space="preserve"> programs</w:t>
      </w:r>
      <w:r w:rsidR="007E76C4">
        <w:t>,</w:t>
      </w:r>
      <w:r w:rsidR="00A31FB2" w:rsidRPr="00153F47">
        <w:t xml:space="preserve"> if they reside in a congregate setting where most residents are older</w:t>
      </w:r>
      <w:r w:rsidR="001343DA">
        <w:t>,</w:t>
      </w:r>
      <w:r w:rsidR="00A31FB2" w:rsidRPr="00153F47">
        <w:t xml:space="preserve"> or if they live with an older adult. (</w:t>
      </w:r>
      <w:r w:rsidR="007E76C4">
        <w:t>OAA</w:t>
      </w:r>
      <w:r w:rsidR="000951CD" w:rsidRPr="00153F47">
        <w:t xml:space="preserve"> section 339; Lloyd and Wellman, 2015; </w:t>
      </w:r>
      <w:r w:rsidR="00A31FB2" w:rsidRPr="00153F47">
        <w:t xml:space="preserve">Colello, 2011) </w:t>
      </w:r>
    </w:p>
    <w:p w:rsidR="0061421B" w:rsidRPr="00153F47" w:rsidRDefault="00B20EAD" w:rsidP="003F2746">
      <w:pPr>
        <w:spacing w:line="240" w:lineRule="auto"/>
      </w:pPr>
      <w:r w:rsidRPr="00153F47">
        <w:t xml:space="preserve">States must target the </w:t>
      </w:r>
      <w:r w:rsidR="005B3981" w:rsidRPr="00153F47">
        <w:t xml:space="preserve">home-delivered and congregate </w:t>
      </w:r>
      <w:r w:rsidR="00814F8F" w:rsidRPr="00153F47">
        <w:t>nutrition services</w:t>
      </w:r>
      <w:r w:rsidRPr="00153F47">
        <w:t xml:space="preserve"> to people with the “greatest social and economic need.”  Those at greatest economic</w:t>
      </w:r>
      <w:r w:rsidR="00A02FBD">
        <w:t xml:space="preserve"> need include minority, limited-English-</w:t>
      </w:r>
      <w:r w:rsidRPr="00153F47">
        <w:t xml:space="preserve">speaking, </w:t>
      </w:r>
      <w:r w:rsidR="00D0692E">
        <w:t>and rural populations as well as</w:t>
      </w:r>
      <w:r w:rsidRPr="00153F47">
        <w:t xml:space="preserve"> those at risk of institutionalization</w:t>
      </w:r>
      <w:r w:rsidR="00B8348C">
        <w:t xml:space="preserve"> (OAA sections 102,305,306)</w:t>
      </w:r>
      <w:r w:rsidRPr="00153F47">
        <w:t xml:space="preserve">. </w:t>
      </w:r>
      <w:r w:rsidR="0081358A">
        <w:t xml:space="preserve"> </w:t>
      </w:r>
      <w:r w:rsidRPr="00153F47">
        <w:t>Program participants are not su</w:t>
      </w:r>
      <w:r w:rsidR="006C6B31">
        <w:t>bject to a means-test</w:t>
      </w:r>
      <w:r w:rsidR="001343DA">
        <w:t>, but</w:t>
      </w:r>
      <w:r w:rsidR="006C6B31">
        <w:t xml:space="preserve"> are </w:t>
      </w:r>
      <w:r w:rsidRPr="00153F47">
        <w:t>encourage</w:t>
      </w:r>
      <w:r w:rsidR="006C6B31">
        <w:t>d</w:t>
      </w:r>
      <w:r w:rsidRPr="00153F47">
        <w:t xml:space="preserve"> to make</w:t>
      </w:r>
      <w:r w:rsidR="006C6B31">
        <w:t xml:space="preserve"> voluntary</w:t>
      </w:r>
      <w:r w:rsidRPr="00153F47">
        <w:t xml:space="preserve"> contributions to the cost of nutrition services.  No one can be denied </w:t>
      </w:r>
      <w:r w:rsidR="00814F8F" w:rsidRPr="00153F47">
        <w:t>nutrition services</w:t>
      </w:r>
      <w:r w:rsidRPr="00153F47">
        <w:t xml:space="preserve"> due to failure to contribute.  </w:t>
      </w:r>
    </w:p>
    <w:p w:rsidR="00036C4A" w:rsidRPr="00B53104" w:rsidRDefault="00B53104" w:rsidP="00B53104">
      <w:pPr>
        <w:pStyle w:val="Heading1"/>
        <w:ind w:left="720"/>
        <w:rPr>
          <w:rFonts w:asciiTheme="minorHAnsi" w:hAnsiTheme="minorHAnsi"/>
          <w:color w:val="auto"/>
          <w:sz w:val="22"/>
          <w:szCs w:val="22"/>
        </w:rPr>
      </w:pPr>
      <w:r>
        <w:rPr>
          <w:rFonts w:asciiTheme="minorHAnsi" w:hAnsiTheme="minorHAnsi"/>
          <w:color w:val="auto"/>
          <w:sz w:val="22"/>
          <w:szCs w:val="22"/>
        </w:rPr>
        <w:t>4.b</w:t>
      </w:r>
      <w:r w:rsidR="00443AA8">
        <w:rPr>
          <w:rFonts w:asciiTheme="minorHAnsi" w:hAnsiTheme="minorHAnsi"/>
          <w:color w:val="auto"/>
          <w:sz w:val="22"/>
          <w:szCs w:val="22"/>
        </w:rPr>
        <w:t>.</w:t>
      </w:r>
      <w:r w:rsidR="00036C4A" w:rsidRPr="00B53104">
        <w:rPr>
          <w:rFonts w:asciiTheme="minorHAnsi" w:hAnsiTheme="minorHAnsi"/>
          <w:color w:val="auto"/>
          <w:sz w:val="22"/>
          <w:szCs w:val="22"/>
        </w:rPr>
        <w:t xml:space="preserve"> Impact of OAA Nutrition Programs</w:t>
      </w:r>
    </w:p>
    <w:p w:rsidR="00953790" w:rsidRPr="00153F47" w:rsidRDefault="0081358A" w:rsidP="00AF23D8">
      <w:pPr>
        <w:spacing w:line="240" w:lineRule="auto"/>
      </w:pPr>
      <w:r>
        <w:t>O</w:t>
      </w:r>
      <w:r w:rsidR="00AF23D8" w:rsidRPr="00AF23D8">
        <w:t xml:space="preserve">lder Americans </w:t>
      </w:r>
      <w:r>
        <w:t>may participate in OAA</w:t>
      </w:r>
      <w:r w:rsidR="00AF23D8" w:rsidRPr="00AF23D8">
        <w:t xml:space="preserve"> Nutrition</w:t>
      </w:r>
      <w:r>
        <w:t xml:space="preserve"> Services</w:t>
      </w:r>
      <w:r w:rsidR="00AF23D8" w:rsidRPr="00AF23D8">
        <w:t xml:space="preserve"> Program</w:t>
      </w:r>
      <w:r>
        <w:t>s regardless of income, or disability</w:t>
      </w:r>
      <w:r w:rsidR="00AF23D8" w:rsidRPr="00AF23D8">
        <w:t xml:space="preserve">.  However, the OAA requires targeting </w:t>
      </w:r>
      <w:r>
        <w:t>services to</w:t>
      </w:r>
      <w:r w:rsidR="00AF23D8">
        <w:t xml:space="preserve"> those in </w:t>
      </w:r>
      <w:r w:rsidR="00E067D0" w:rsidRPr="00153F47">
        <w:t xml:space="preserve">“greatest social and economic need,” as </w:t>
      </w:r>
      <w:r w:rsidR="00D0692E">
        <w:t>described above</w:t>
      </w:r>
      <w:r w:rsidR="00E067D0" w:rsidRPr="00153F47">
        <w:t>.</w:t>
      </w:r>
      <w:r>
        <w:t xml:space="preserve">  The nutrition</w:t>
      </w:r>
      <w:r w:rsidR="00D0692E">
        <w:t xml:space="preserve"> programs serve their intended populations.</w:t>
      </w:r>
      <w:r w:rsidR="00E067D0" w:rsidRPr="00153F47">
        <w:t xml:space="preserve">  </w:t>
      </w:r>
      <w:r w:rsidR="00EE07F7">
        <w:t>A disproportionately large percentage of p</w:t>
      </w:r>
      <w:r w:rsidR="00E067D0" w:rsidRPr="00153F47">
        <w:t>rogram p</w:t>
      </w:r>
      <w:r w:rsidR="00075EF8" w:rsidRPr="00153F47">
        <w:t xml:space="preserve">articipants are </w:t>
      </w:r>
      <w:r w:rsidR="00007BD1">
        <w:t xml:space="preserve">likely to be </w:t>
      </w:r>
      <w:r w:rsidR="00075EF8" w:rsidRPr="00153F47">
        <w:t>poor</w:t>
      </w:r>
      <w:r w:rsidR="00007BD1">
        <w:t>,</w:t>
      </w:r>
      <w:r w:rsidR="006B1E40" w:rsidRPr="00153F47">
        <w:t xml:space="preserve"> minorities, </w:t>
      </w:r>
      <w:r w:rsidR="005B3981" w:rsidRPr="00153F47">
        <w:t>live alone</w:t>
      </w:r>
      <w:r w:rsidR="00D0692E">
        <w:t>, and have disability or</w:t>
      </w:r>
      <w:r w:rsidR="00953790" w:rsidRPr="00153F47">
        <w:t xml:space="preserve"> poor</w:t>
      </w:r>
      <w:r w:rsidR="006B1E40" w:rsidRPr="00153F47">
        <w:t xml:space="preserve"> health.  </w:t>
      </w:r>
      <w:r w:rsidR="00075EF8" w:rsidRPr="00153F47">
        <w:t>Statistics documenting these conclusions</w:t>
      </w:r>
      <w:r w:rsidR="004557BD" w:rsidRPr="00153F47">
        <w:t xml:space="preserve"> come from the </w:t>
      </w:r>
      <w:r w:rsidR="00D0692E">
        <w:t xml:space="preserve">2014 </w:t>
      </w:r>
      <w:r w:rsidR="004557BD" w:rsidRPr="00153F47">
        <w:t xml:space="preserve">Older Americans Act State </w:t>
      </w:r>
      <w:r w:rsidR="004557BD" w:rsidRPr="00153F47">
        <w:lastRenderedPageBreak/>
        <w:t>Program Report</w:t>
      </w:r>
      <w:r w:rsidR="00075EF8" w:rsidRPr="00153F47">
        <w:t xml:space="preserve"> (SPR)</w:t>
      </w:r>
      <w:r w:rsidR="00D0692E">
        <w:t>;</w:t>
      </w:r>
      <w:r w:rsidR="004557BD" w:rsidRPr="00153F47">
        <w:t xml:space="preserve"> </w:t>
      </w:r>
      <w:r w:rsidR="004D4C30" w:rsidRPr="00153F47">
        <w:t xml:space="preserve">2015 </w:t>
      </w:r>
      <w:r w:rsidR="004557BD" w:rsidRPr="00153F47">
        <w:t xml:space="preserve">National </w:t>
      </w:r>
      <w:r w:rsidR="004D4C30" w:rsidRPr="00153F47">
        <w:t xml:space="preserve">Survey of </w:t>
      </w:r>
      <w:r w:rsidR="004557BD" w:rsidRPr="00153F47">
        <w:t xml:space="preserve">OAA </w:t>
      </w:r>
      <w:r w:rsidR="004D4C30" w:rsidRPr="00153F47">
        <w:t>Participants</w:t>
      </w:r>
      <w:r w:rsidR="00075EF8" w:rsidRPr="00153F47">
        <w:t xml:space="preserve"> (NSOAAP)</w:t>
      </w:r>
      <w:r w:rsidR="00007BD1">
        <w:t>;</w:t>
      </w:r>
      <w:r w:rsidR="004557BD" w:rsidRPr="00153F47">
        <w:rPr>
          <w:rStyle w:val="FootnoteReference"/>
        </w:rPr>
        <w:footnoteReference w:id="6"/>
      </w:r>
      <w:r w:rsidR="00106E57" w:rsidRPr="00153F47">
        <w:t xml:space="preserve"> and an independent researcher</w:t>
      </w:r>
      <w:r w:rsidR="004D4C30" w:rsidRPr="00153F47">
        <w:t>:</w:t>
      </w:r>
      <w:r w:rsidR="00953790" w:rsidRPr="00153F47">
        <w:t xml:space="preserve"> </w:t>
      </w:r>
    </w:p>
    <w:p w:rsidR="00075EF8" w:rsidRPr="00153F47" w:rsidRDefault="00075EF8" w:rsidP="008B1270">
      <w:pPr>
        <w:pStyle w:val="ListParagraph"/>
        <w:numPr>
          <w:ilvl w:val="0"/>
          <w:numId w:val="19"/>
        </w:numPr>
        <w:spacing w:line="240" w:lineRule="auto"/>
      </w:pPr>
      <w:r w:rsidRPr="00153F47">
        <w:t>43.1% of home-delivered and congregate meals participants live alone</w:t>
      </w:r>
      <w:r w:rsidR="008B1270">
        <w:t xml:space="preserve">, 32.4% live in poverty, </w:t>
      </w:r>
      <w:r w:rsidRPr="00153F47">
        <w:t xml:space="preserve">36.5% </w:t>
      </w:r>
      <w:r w:rsidR="008B1270">
        <w:t xml:space="preserve">live in rural areas, and </w:t>
      </w:r>
      <w:r w:rsidRPr="00153F47">
        <w:t xml:space="preserve">28.6% </w:t>
      </w:r>
      <w:r w:rsidR="008B1270">
        <w:t>are minoritie</w:t>
      </w:r>
      <w:r w:rsidRPr="00153F47">
        <w:t>s (SPR)</w:t>
      </w:r>
      <w:r w:rsidR="008B1270">
        <w:t>.</w:t>
      </w:r>
    </w:p>
    <w:p w:rsidR="00050235" w:rsidRPr="00153F47" w:rsidRDefault="000B4388" w:rsidP="00C81112">
      <w:pPr>
        <w:pStyle w:val="ListParagraph"/>
        <w:numPr>
          <w:ilvl w:val="0"/>
          <w:numId w:val="19"/>
        </w:numPr>
        <w:spacing w:line="240" w:lineRule="auto"/>
      </w:pPr>
      <w:r w:rsidRPr="00153F47">
        <w:t xml:space="preserve">67% of </w:t>
      </w:r>
      <w:r w:rsidR="00FA21AB" w:rsidRPr="00153F47">
        <w:t xml:space="preserve">home delivered meals and 40% congregate meals </w:t>
      </w:r>
      <w:r w:rsidRPr="00153F47">
        <w:t>participants take 5 or more medications</w:t>
      </w:r>
      <w:r w:rsidR="00075EF8" w:rsidRPr="00153F47">
        <w:t xml:space="preserve"> (NSOAAP)</w:t>
      </w:r>
      <w:r w:rsidR="008B1270">
        <w:t>.</w:t>
      </w:r>
    </w:p>
    <w:p w:rsidR="000B4388" w:rsidRPr="00153F47" w:rsidRDefault="000B4388" w:rsidP="00C81112">
      <w:pPr>
        <w:pStyle w:val="ListParagraph"/>
        <w:numPr>
          <w:ilvl w:val="0"/>
          <w:numId w:val="19"/>
        </w:numPr>
        <w:spacing w:line="240" w:lineRule="auto"/>
      </w:pPr>
      <w:r w:rsidRPr="00153F47">
        <w:t xml:space="preserve">78% of </w:t>
      </w:r>
      <w:r w:rsidR="00FA21AB" w:rsidRPr="00153F47">
        <w:t>home-delivered meals participants have</w:t>
      </w:r>
      <w:r w:rsidRPr="00153F47">
        <w:t xml:space="preserve"> difficulty with walking, preparing meals, or going outside the home</w:t>
      </w:r>
      <w:r w:rsidR="00075EF8" w:rsidRPr="00153F47">
        <w:t xml:space="preserve"> (NSOAAP)</w:t>
      </w:r>
      <w:r w:rsidR="00007BD1">
        <w:t>.</w:t>
      </w:r>
    </w:p>
    <w:p w:rsidR="00106E57" w:rsidRDefault="00106E57" w:rsidP="00106E57">
      <w:pPr>
        <w:pStyle w:val="ListParagraph"/>
        <w:numPr>
          <w:ilvl w:val="0"/>
          <w:numId w:val="19"/>
        </w:numPr>
        <w:spacing w:line="240" w:lineRule="auto"/>
      </w:pPr>
      <w:r w:rsidRPr="00153F47">
        <w:t>Congregate nutrition service participants are twice as likely and home-delivered nutrition service participants are 10 times as likely as the population age 60 and over to have difficulties with 3 or more daily activities, such as eating, bathing, and dressing (Kowlessar et al., 2015).</w:t>
      </w:r>
    </w:p>
    <w:p w:rsidR="00412DD2" w:rsidRPr="00153F47" w:rsidRDefault="00412DD2" w:rsidP="00412DD2">
      <w:pPr>
        <w:pStyle w:val="ListParagraph"/>
        <w:numPr>
          <w:ilvl w:val="0"/>
          <w:numId w:val="19"/>
        </w:numPr>
        <w:spacing w:line="240" w:lineRule="auto"/>
      </w:pPr>
      <w:r w:rsidRPr="00153F47">
        <w:t>37% of home-delivered meals and 19% of congregate meals participants had an overnight hospital stay in the last year (NSOAAP)</w:t>
      </w:r>
      <w:r>
        <w:t>.</w:t>
      </w:r>
    </w:p>
    <w:p w:rsidR="00BB58CD" w:rsidRPr="00153F47" w:rsidRDefault="005828DE" w:rsidP="003F2746">
      <w:pPr>
        <w:pStyle w:val="Default"/>
        <w:rPr>
          <w:rFonts w:asciiTheme="minorHAnsi" w:hAnsiTheme="minorHAnsi"/>
          <w:sz w:val="22"/>
          <w:szCs w:val="22"/>
        </w:rPr>
      </w:pPr>
      <w:r w:rsidRPr="00153F47">
        <w:rPr>
          <w:rFonts w:asciiTheme="minorHAnsi" w:hAnsiTheme="minorHAnsi"/>
          <w:sz w:val="22"/>
          <w:szCs w:val="22"/>
        </w:rPr>
        <w:t>Co</w:t>
      </w:r>
      <w:r w:rsidR="0095686D" w:rsidRPr="00153F47">
        <w:rPr>
          <w:rFonts w:asciiTheme="minorHAnsi" w:hAnsiTheme="minorHAnsi"/>
          <w:sz w:val="22"/>
          <w:szCs w:val="22"/>
        </w:rPr>
        <w:t>nsistent with the</w:t>
      </w:r>
      <w:r w:rsidR="00B3665E" w:rsidRPr="00153F47">
        <w:rPr>
          <w:rFonts w:asciiTheme="minorHAnsi" w:hAnsiTheme="minorHAnsi"/>
          <w:sz w:val="22"/>
          <w:szCs w:val="22"/>
        </w:rPr>
        <w:t xml:space="preserve"> positive results from the</w:t>
      </w:r>
      <w:r w:rsidR="0095686D" w:rsidRPr="00153F47">
        <w:rPr>
          <w:rFonts w:asciiTheme="minorHAnsi" w:hAnsiTheme="minorHAnsi"/>
          <w:sz w:val="22"/>
          <w:szCs w:val="22"/>
        </w:rPr>
        <w:t xml:space="preserve"> </w:t>
      </w:r>
      <w:r w:rsidRPr="00153F47">
        <w:rPr>
          <w:rFonts w:asciiTheme="minorHAnsi" w:hAnsiTheme="minorHAnsi"/>
          <w:sz w:val="22"/>
          <w:szCs w:val="22"/>
        </w:rPr>
        <w:t xml:space="preserve">research literature on </w:t>
      </w:r>
      <w:r w:rsidR="00B3665E" w:rsidRPr="00153F47">
        <w:rPr>
          <w:rFonts w:asciiTheme="minorHAnsi" w:hAnsiTheme="minorHAnsi"/>
          <w:sz w:val="22"/>
          <w:szCs w:val="22"/>
        </w:rPr>
        <w:t xml:space="preserve">home delivered meals and </w:t>
      </w:r>
      <w:r w:rsidRPr="00153F47">
        <w:rPr>
          <w:rFonts w:asciiTheme="minorHAnsi" w:hAnsiTheme="minorHAnsi"/>
          <w:sz w:val="22"/>
          <w:szCs w:val="22"/>
        </w:rPr>
        <w:t xml:space="preserve">meal enhancements, </w:t>
      </w:r>
      <w:r w:rsidR="00692A27" w:rsidRPr="00153F47">
        <w:rPr>
          <w:rFonts w:asciiTheme="minorHAnsi" w:hAnsiTheme="minorHAnsi"/>
          <w:sz w:val="22"/>
          <w:szCs w:val="22"/>
        </w:rPr>
        <w:t>OAA nutrition</w:t>
      </w:r>
      <w:r w:rsidR="00B3665E" w:rsidRPr="00153F47">
        <w:rPr>
          <w:rFonts w:asciiTheme="minorHAnsi" w:hAnsiTheme="minorHAnsi"/>
          <w:sz w:val="22"/>
          <w:szCs w:val="22"/>
        </w:rPr>
        <w:t xml:space="preserve"> program</w:t>
      </w:r>
      <w:r w:rsidR="0095686D" w:rsidRPr="00153F47">
        <w:rPr>
          <w:rFonts w:asciiTheme="minorHAnsi" w:hAnsiTheme="minorHAnsi"/>
          <w:sz w:val="22"/>
          <w:szCs w:val="22"/>
        </w:rPr>
        <w:t xml:space="preserve"> participants experience benefits</w:t>
      </w:r>
      <w:r w:rsidR="00007BD1">
        <w:rPr>
          <w:rFonts w:asciiTheme="minorHAnsi" w:hAnsiTheme="minorHAnsi"/>
          <w:sz w:val="22"/>
          <w:szCs w:val="22"/>
        </w:rPr>
        <w:t xml:space="preserve"> including </w:t>
      </w:r>
      <w:r w:rsidR="001343DA">
        <w:rPr>
          <w:rFonts w:asciiTheme="minorHAnsi" w:hAnsiTheme="minorHAnsi"/>
          <w:sz w:val="22"/>
          <w:szCs w:val="22"/>
        </w:rPr>
        <w:t>more</w:t>
      </w:r>
      <w:r w:rsidR="00075EF8" w:rsidRPr="00153F47">
        <w:rPr>
          <w:rFonts w:asciiTheme="minorHAnsi" w:hAnsiTheme="minorHAnsi"/>
          <w:sz w:val="22"/>
          <w:szCs w:val="22"/>
        </w:rPr>
        <w:t xml:space="preserve"> food security, </w:t>
      </w:r>
      <w:r w:rsidR="00E501EB">
        <w:rPr>
          <w:rFonts w:asciiTheme="minorHAnsi" w:hAnsiTheme="minorHAnsi"/>
          <w:sz w:val="22"/>
          <w:szCs w:val="22"/>
        </w:rPr>
        <w:t>self-reported</w:t>
      </w:r>
      <w:r w:rsidR="00DB49F4" w:rsidRPr="00153F47">
        <w:rPr>
          <w:rFonts w:asciiTheme="minorHAnsi" w:hAnsiTheme="minorHAnsi"/>
          <w:sz w:val="22"/>
          <w:szCs w:val="22"/>
        </w:rPr>
        <w:t xml:space="preserve"> abili</w:t>
      </w:r>
      <w:r w:rsidR="001343DA">
        <w:rPr>
          <w:rFonts w:asciiTheme="minorHAnsi" w:hAnsiTheme="minorHAnsi"/>
          <w:sz w:val="22"/>
          <w:szCs w:val="22"/>
        </w:rPr>
        <w:t xml:space="preserve">ty to remain at home,  and </w:t>
      </w:r>
      <w:r w:rsidR="00DB49F4" w:rsidRPr="00153F47">
        <w:rPr>
          <w:rFonts w:asciiTheme="minorHAnsi" w:hAnsiTheme="minorHAnsi"/>
          <w:sz w:val="22"/>
          <w:szCs w:val="22"/>
        </w:rPr>
        <w:t>social interaction</w:t>
      </w:r>
      <w:r w:rsidR="0095686D" w:rsidRPr="00153F47">
        <w:rPr>
          <w:rFonts w:asciiTheme="minorHAnsi" w:hAnsiTheme="minorHAnsi"/>
          <w:sz w:val="22"/>
          <w:szCs w:val="22"/>
        </w:rPr>
        <w:t>.</w:t>
      </w:r>
      <w:r w:rsidRPr="00153F47">
        <w:rPr>
          <w:rFonts w:asciiTheme="minorHAnsi" w:hAnsiTheme="minorHAnsi"/>
          <w:sz w:val="22"/>
          <w:szCs w:val="22"/>
        </w:rPr>
        <w:t xml:space="preserve"> </w:t>
      </w:r>
    </w:p>
    <w:p w:rsidR="00E067D0" w:rsidRPr="00153F47" w:rsidRDefault="00E067D0" w:rsidP="00E067D0">
      <w:pPr>
        <w:pStyle w:val="ListParagraph"/>
        <w:numPr>
          <w:ilvl w:val="0"/>
          <w:numId w:val="10"/>
        </w:numPr>
        <w:spacing w:line="240" w:lineRule="auto"/>
      </w:pPr>
      <w:r w:rsidRPr="00153F47">
        <w:t>An evaluation of mid-1990s</w:t>
      </w:r>
      <w:r w:rsidR="00412DD2">
        <w:t xml:space="preserve"> </w:t>
      </w:r>
      <w:r w:rsidRPr="00153F47">
        <w:t>Older Americans Act congregate and home-delivered nutrition</w:t>
      </w:r>
      <w:r w:rsidR="00E501EB">
        <w:t xml:space="preserve"> services</w:t>
      </w:r>
      <w:r w:rsidRPr="00153F47">
        <w:t xml:space="preserve"> progra</w:t>
      </w:r>
      <w:r w:rsidR="00412DD2">
        <w:t>ms</w:t>
      </w:r>
      <w:r w:rsidR="001343DA">
        <w:t xml:space="preserve"> indicated</w:t>
      </w:r>
      <w:r w:rsidRPr="00153F47">
        <w:t xml:space="preserve"> that participants had higher intakes of a number of nutrients than controls (Ponza et al</w:t>
      </w:r>
      <w:r w:rsidR="00E21135">
        <w:t>.</w:t>
      </w:r>
      <w:r w:rsidRPr="00153F47">
        <w:t>, 1996; Silver, 2009).</w:t>
      </w:r>
    </w:p>
    <w:p w:rsidR="00BB58CD" w:rsidRPr="00153F47" w:rsidRDefault="00075EF8" w:rsidP="003F2746">
      <w:pPr>
        <w:pStyle w:val="ListParagraph"/>
        <w:numPr>
          <w:ilvl w:val="0"/>
          <w:numId w:val="10"/>
        </w:numPr>
        <w:spacing w:line="240" w:lineRule="auto"/>
      </w:pPr>
      <w:r w:rsidRPr="00153F47">
        <w:t>The 2015</w:t>
      </w:r>
      <w:r w:rsidR="00BB58CD" w:rsidRPr="00153F47">
        <w:t xml:space="preserve"> National Survey of OAA Participa</w:t>
      </w:r>
      <w:r w:rsidRPr="00153F47">
        <w:t>nts documents that:</w:t>
      </w:r>
    </w:p>
    <w:p w:rsidR="00412DD2" w:rsidRDefault="00075EF8" w:rsidP="00075EF8">
      <w:pPr>
        <w:pStyle w:val="ListParagraph"/>
        <w:numPr>
          <w:ilvl w:val="1"/>
          <w:numId w:val="10"/>
        </w:numPr>
        <w:spacing w:line="240" w:lineRule="auto"/>
      </w:pPr>
      <w:r w:rsidRPr="00153F47">
        <w:t>30% of home-delivered meals and 18% o</w:t>
      </w:r>
      <w:r w:rsidR="00E501EB">
        <w:t xml:space="preserve">f congregate meals participants </w:t>
      </w:r>
      <w:r w:rsidRPr="00153F47">
        <w:t xml:space="preserve">said that their meals supplied more than half of their food. </w:t>
      </w:r>
    </w:p>
    <w:p w:rsidR="00075EF8" w:rsidRPr="00153F47" w:rsidRDefault="00075EF8" w:rsidP="00075EF8">
      <w:pPr>
        <w:pStyle w:val="ListParagraph"/>
        <w:numPr>
          <w:ilvl w:val="1"/>
          <w:numId w:val="10"/>
        </w:numPr>
        <w:spacing w:line="240" w:lineRule="auto"/>
      </w:pPr>
      <w:r w:rsidRPr="00153F47">
        <w:t>81% of home-delivered meals participants said that meals h</w:t>
      </w:r>
      <w:r w:rsidR="00412DD2">
        <w:t>elp</w:t>
      </w:r>
      <w:r w:rsidR="00C26AB5">
        <w:t>ed</w:t>
      </w:r>
      <w:r w:rsidR="00412DD2">
        <w:t xml:space="preserve"> their health improve.</w:t>
      </w:r>
    </w:p>
    <w:p w:rsidR="00075EF8" w:rsidRPr="00153F47" w:rsidRDefault="00075EF8" w:rsidP="00075EF8">
      <w:pPr>
        <w:pStyle w:val="ListParagraph"/>
        <w:numPr>
          <w:ilvl w:val="1"/>
          <w:numId w:val="10"/>
        </w:numPr>
        <w:spacing w:line="240" w:lineRule="auto"/>
      </w:pPr>
      <w:r w:rsidRPr="00153F47">
        <w:t>92% of home-delivered meals and 61% of congregate meals participants said that meals help</w:t>
      </w:r>
      <w:r w:rsidR="00C26AB5">
        <w:t>ed</w:t>
      </w:r>
      <w:r w:rsidRPr="00153F47">
        <w:t xml:space="preserve"> them to s</w:t>
      </w:r>
      <w:r w:rsidR="00412DD2">
        <w:t xml:space="preserve">tay in their own homes. </w:t>
      </w:r>
    </w:p>
    <w:p w:rsidR="00075EF8" w:rsidRPr="00153F47" w:rsidRDefault="00075EF8" w:rsidP="00075EF8">
      <w:pPr>
        <w:pStyle w:val="ListParagraph"/>
        <w:numPr>
          <w:ilvl w:val="1"/>
          <w:numId w:val="10"/>
        </w:numPr>
        <w:spacing w:line="240" w:lineRule="auto"/>
      </w:pPr>
      <w:r w:rsidRPr="00153F47">
        <w:t>86% of home-delivered meals participants said that meals help</w:t>
      </w:r>
      <w:r w:rsidR="00C26AB5">
        <w:t>ed</w:t>
      </w:r>
      <w:r w:rsidRPr="00153F47">
        <w:t xml:space="preserve"> t</w:t>
      </w:r>
      <w:r w:rsidR="00412DD2">
        <w:t>hem live independently.</w:t>
      </w:r>
    </w:p>
    <w:p w:rsidR="00075EF8" w:rsidRPr="00153F47" w:rsidRDefault="00075EF8" w:rsidP="00075EF8">
      <w:pPr>
        <w:pStyle w:val="ListParagraph"/>
        <w:numPr>
          <w:ilvl w:val="1"/>
          <w:numId w:val="10"/>
        </w:numPr>
        <w:spacing w:line="240" w:lineRule="auto"/>
      </w:pPr>
      <w:r w:rsidRPr="00153F47">
        <w:t>85% of c</w:t>
      </w:r>
      <w:r w:rsidR="00C26AB5">
        <w:t>ongregate meals participants said</w:t>
      </w:r>
      <w:r w:rsidRPr="00153F47">
        <w:t xml:space="preserve"> that they see friends more often due to their</w:t>
      </w:r>
      <w:r w:rsidR="00412DD2">
        <w:t xml:space="preserve"> meals. </w:t>
      </w:r>
    </w:p>
    <w:p w:rsidR="007902B7" w:rsidRPr="00153F47" w:rsidRDefault="007902B7" w:rsidP="003F2746">
      <w:pPr>
        <w:pStyle w:val="ListParagraph"/>
        <w:numPr>
          <w:ilvl w:val="0"/>
          <w:numId w:val="10"/>
        </w:numPr>
        <w:spacing w:line="240" w:lineRule="auto"/>
      </w:pPr>
      <w:r w:rsidRPr="00153F47">
        <w:t>A Georgia stu</w:t>
      </w:r>
      <w:r w:rsidR="00814F8F" w:rsidRPr="00153F47">
        <w:t>dy compared home-delivered nutrition program</w:t>
      </w:r>
      <w:r w:rsidRPr="00153F47">
        <w:t xml:space="preserve"> participants to those waitlisted for services and found that those on the waitlist had higher levels of food insecurity. (Lloyd and Wellman, 2015).</w:t>
      </w:r>
    </w:p>
    <w:p w:rsidR="00DB4F1F" w:rsidRPr="00DB4F1F" w:rsidRDefault="00BC1E11" w:rsidP="004774B6">
      <w:pPr>
        <w:pStyle w:val="ListParagraph"/>
        <w:numPr>
          <w:ilvl w:val="0"/>
          <w:numId w:val="7"/>
        </w:numPr>
        <w:autoSpaceDE w:val="0"/>
        <w:autoSpaceDN w:val="0"/>
        <w:adjustRightInd w:val="0"/>
        <w:spacing w:after="0" w:line="240" w:lineRule="auto"/>
      </w:pPr>
      <w:r w:rsidRPr="00153F47">
        <w:rPr>
          <w:rFonts w:cs="Times New Roman"/>
        </w:rPr>
        <w:t xml:space="preserve">Researchers found that a 1% increase in the proportion of </w:t>
      </w:r>
      <w:r w:rsidR="00B3303E">
        <w:rPr>
          <w:rFonts w:cs="Times New Roman"/>
        </w:rPr>
        <w:t>a state’s older adult population</w:t>
      </w:r>
      <w:r w:rsidR="00814F8F" w:rsidRPr="00153F47">
        <w:rPr>
          <w:rFonts w:cs="Times New Roman"/>
        </w:rPr>
        <w:t xml:space="preserve"> receiving home-delivered nutrition</w:t>
      </w:r>
      <w:r w:rsidR="00BC504C">
        <w:rPr>
          <w:rFonts w:cs="Times New Roman"/>
        </w:rPr>
        <w:t xml:space="preserve"> services</w:t>
      </w:r>
      <w:r w:rsidRPr="00153F47">
        <w:rPr>
          <w:rFonts w:cs="Times New Roman"/>
        </w:rPr>
        <w:t xml:space="preserve"> was associated with a 0.2% decrease in the percentage of the state’s low-care n</w:t>
      </w:r>
      <w:r w:rsidR="00776C4A">
        <w:rPr>
          <w:rFonts w:cs="Times New Roman"/>
        </w:rPr>
        <w:t>ursing home population (Thomas and</w:t>
      </w:r>
      <w:r w:rsidRPr="00153F47">
        <w:rPr>
          <w:rFonts w:cs="Times New Roman"/>
        </w:rPr>
        <w:t xml:space="preserve"> Mor, 2013).</w:t>
      </w:r>
    </w:p>
    <w:p w:rsidR="00DB4F1F" w:rsidRPr="00DB4F1F" w:rsidRDefault="00DB4F1F" w:rsidP="00DB4F1F">
      <w:pPr>
        <w:pStyle w:val="ListParagraph"/>
        <w:autoSpaceDE w:val="0"/>
        <w:autoSpaceDN w:val="0"/>
        <w:adjustRightInd w:val="0"/>
        <w:spacing w:after="0" w:line="240" w:lineRule="auto"/>
      </w:pPr>
    </w:p>
    <w:p w:rsidR="006F5FE6" w:rsidRPr="00153F47" w:rsidRDefault="004774B6" w:rsidP="009A1159">
      <w:pPr>
        <w:spacing w:line="240" w:lineRule="auto"/>
        <w:ind w:left="360"/>
        <w:rPr>
          <w:b/>
        </w:rPr>
      </w:pPr>
      <w:r w:rsidRPr="00153F47">
        <w:rPr>
          <w:b/>
        </w:rPr>
        <w:t xml:space="preserve">5. </w:t>
      </w:r>
      <w:r w:rsidR="006F5FE6" w:rsidRPr="009A1159">
        <w:rPr>
          <w:rStyle w:val="Heading1Char"/>
          <w:rFonts w:asciiTheme="minorHAnsi" w:hAnsiTheme="minorHAnsi"/>
          <w:color w:val="auto"/>
          <w:sz w:val="22"/>
          <w:szCs w:val="22"/>
        </w:rPr>
        <w:t>Malnutrition and Hospitalization</w:t>
      </w:r>
      <w:r w:rsidR="00EA1B43" w:rsidRPr="009A1159">
        <w:rPr>
          <w:b/>
        </w:rPr>
        <w:t xml:space="preserve"> </w:t>
      </w:r>
    </w:p>
    <w:p w:rsidR="00B256AB" w:rsidRPr="00153F47" w:rsidRDefault="00BC504C" w:rsidP="003F2746">
      <w:pPr>
        <w:spacing w:line="240" w:lineRule="auto"/>
      </w:pPr>
      <w:r>
        <w:t>Hospitalization</w:t>
      </w:r>
      <w:r w:rsidR="003F2014" w:rsidRPr="00153F47">
        <w:t xml:space="preserve"> poses</w:t>
      </w:r>
      <w:r w:rsidR="006F5FE6" w:rsidRPr="00153F47">
        <w:t xml:space="preserve"> </w:t>
      </w:r>
      <w:r w:rsidR="00DB49F4" w:rsidRPr="00153F47">
        <w:t xml:space="preserve">special </w:t>
      </w:r>
      <w:r w:rsidR="006F5FE6" w:rsidRPr="00153F47">
        <w:t>risks for older adults</w:t>
      </w:r>
      <w:r w:rsidR="00DB49F4" w:rsidRPr="00153F47">
        <w:t>’ nutrition</w:t>
      </w:r>
      <w:r w:rsidR="006F5FE6" w:rsidRPr="00153F47">
        <w:t>.</w:t>
      </w:r>
      <w:r w:rsidR="00CB5A8D" w:rsidRPr="00153F47">
        <w:t xml:space="preserve">  A large minority of patients in developed countries</w:t>
      </w:r>
      <w:r w:rsidR="00F26461" w:rsidRPr="00153F47">
        <w:t>, including the U.S.,</w:t>
      </w:r>
      <w:r w:rsidR="00CB5A8D" w:rsidRPr="00153F47">
        <w:t xml:space="preserve"> are malnourished when entering the hospital and a majority of patients get</w:t>
      </w:r>
      <w:r w:rsidR="00AF23D8">
        <w:t xml:space="preserve"> worse during hospitalization. Much of</w:t>
      </w:r>
      <w:r w:rsidR="00B3303E">
        <w:t xml:space="preserve"> the literature indicates that patients age</w:t>
      </w:r>
      <w:r w:rsidR="00CB5A8D" w:rsidRPr="00153F47">
        <w:t xml:space="preserve"> 85 and over</w:t>
      </w:r>
      <w:r w:rsidR="00B256AB" w:rsidRPr="00153F47">
        <w:t xml:space="preserve"> are at particul</w:t>
      </w:r>
      <w:r w:rsidR="00CB71C2">
        <w:t xml:space="preserve">ar risk for malnutrition.  Health professionals may fail to </w:t>
      </w:r>
      <w:r w:rsidR="003B115A">
        <w:t>screen</w:t>
      </w:r>
      <w:r w:rsidR="00EE07F7">
        <w:t>, assess,</w:t>
      </w:r>
      <w:r w:rsidR="003B115A">
        <w:t xml:space="preserve"> or diagnose </w:t>
      </w:r>
      <w:r w:rsidR="00B256AB" w:rsidRPr="00153F47">
        <w:t>patients with malnut</w:t>
      </w:r>
      <w:r w:rsidR="00CB71C2">
        <w:t>rition</w:t>
      </w:r>
      <w:r w:rsidR="003B115A">
        <w:t xml:space="preserve">. </w:t>
      </w:r>
      <w:r w:rsidR="00B256AB" w:rsidRPr="00153F47">
        <w:t xml:space="preserve">Fortunately, there are clear practice </w:t>
      </w:r>
      <w:r>
        <w:t>recommendations available related to</w:t>
      </w:r>
      <w:r w:rsidR="00B256AB" w:rsidRPr="00153F47">
        <w:t xml:space="preserve"> </w:t>
      </w:r>
      <w:r w:rsidR="00B3303E">
        <w:t>hospitalized patients and</w:t>
      </w:r>
      <w:r w:rsidR="00B256AB" w:rsidRPr="00153F47">
        <w:t xml:space="preserve"> evidence that certain int</w:t>
      </w:r>
      <w:r w:rsidR="00DB49F4" w:rsidRPr="00153F47">
        <w:t xml:space="preserve">erventions can help hospital patients </w:t>
      </w:r>
      <w:r w:rsidR="00F26461" w:rsidRPr="00153F47">
        <w:t xml:space="preserve">cope with </w:t>
      </w:r>
      <w:r w:rsidR="00B256AB" w:rsidRPr="00153F47">
        <w:t>malnutrition.</w:t>
      </w:r>
    </w:p>
    <w:p w:rsidR="00B256AB" w:rsidRPr="00B53104" w:rsidRDefault="00B53104" w:rsidP="00B53104">
      <w:pPr>
        <w:pStyle w:val="Heading1"/>
        <w:ind w:left="720"/>
        <w:rPr>
          <w:rFonts w:asciiTheme="minorHAnsi" w:hAnsiTheme="minorHAnsi"/>
          <w:color w:val="auto"/>
          <w:sz w:val="22"/>
          <w:szCs w:val="22"/>
        </w:rPr>
      </w:pPr>
      <w:r>
        <w:rPr>
          <w:rFonts w:asciiTheme="minorHAnsi" w:hAnsiTheme="minorHAnsi"/>
          <w:color w:val="auto"/>
          <w:sz w:val="22"/>
          <w:szCs w:val="22"/>
        </w:rPr>
        <w:lastRenderedPageBreak/>
        <w:t>5.a</w:t>
      </w:r>
      <w:r w:rsidR="00443AA8">
        <w:rPr>
          <w:rFonts w:asciiTheme="minorHAnsi" w:hAnsiTheme="minorHAnsi"/>
          <w:color w:val="auto"/>
          <w:sz w:val="22"/>
          <w:szCs w:val="22"/>
        </w:rPr>
        <w:t>.</w:t>
      </w:r>
      <w:r>
        <w:rPr>
          <w:rFonts w:asciiTheme="minorHAnsi" w:hAnsiTheme="minorHAnsi"/>
          <w:color w:val="auto"/>
          <w:sz w:val="22"/>
          <w:szCs w:val="22"/>
        </w:rPr>
        <w:t xml:space="preserve"> </w:t>
      </w:r>
      <w:r w:rsidR="00B256AB" w:rsidRPr="00B53104">
        <w:rPr>
          <w:rFonts w:asciiTheme="minorHAnsi" w:hAnsiTheme="minorHAnsi"/>
          <w:color w:val="auto"/>
          <w:sz w:val="22"/>
          <w:szCs w:val="22"/>
        </w:rPr>
        <w:t>Prevalence of Malnutrition among Hospital Patients</w:t>
      </w:r>
    </w:p>
    <w:p w:rsidR="003F2014" w:rsidRPr="00153F47" w:rsidRDefault="006F5FE6" w:rsidP="003F2746">
      <w:pPr>
        <w:spacing w:line="240" w:lineRule="auto"/>
      </w:pPr>
      <w:r w:rsidRPr="00153F47">
        <w:t>At least 1/3 of patients</w:t>
      </w:r>
      <w:r w:rsidR="00794414">
        <w:t xml:space="preserve"> of all ages</w:t>
      </w:r>
      <w:r w:rsidRPr="00153F47">
        <w:t xml:space="preserve"> in developed countries</w:t>
      </w:r>
      <w:r w:rsidR="00BA18D7" w:rsidRPr="00153F47">
        <w:t>, including the U.S.</w:t>
      </w:r>
      <w:r w:rsidR="007B4396">
        <w:t>,</w:t>
      </w:r>
      <w:r w:rsidRPr="00153F47">
        <w:t xml:space="preserve"> are malnourished when admitted to </w:t>
      </w:r>
      <w:r w:rsidR="009C774F">
        <w:t xml:space="preserve">the </w:t>
      </w:r>
      <w:r w:rsidRPr="00153F47">
        <w:t>hospital, and</w:t>
      </w:r>
      <w:r w:rsidR="00DC47A7">
        <w:t>, if untreated,</w:t>
      </w:r>
      <w:r w:rsidRPr="00153F47">
        <w:t xml:space="preserve"> about 2/3 will have their </w:t>
      </w:r>
      <w:r w:rsidR="00BE4698">
        <w:t>nutrition</w:t>
      </w:r>
      <w:r w:rsidRPr="00153F47">
        <w:t xml:space="preserve"> status decline during their hospitalization. One third of patients who are not malnourished upon admission become so during the hospitalization (Guenter et al., 2015; Tappenden et al., 2013).</w:t>
      </w:r>
      <w:r w:rsidR="00204CBB" w:rsidRPr="00153F47">
        <w:t xml:space="preserve"> </w:t>
      </w:r>
      <w:r w:rsidR="003F2014" w:rsidRPr="00153F47">
        <w:t>Studies of p</w:t>
      </w:r>
      <w:r w:rsidR="004729AE" w:rsidRPr="00153F47">
        <w:t>revalence of malnutrition</w:t>
      </w:r>
      <w:r w:rsidR="003F2014" w:rsidRPr="00153F47">
        <w:t xml:space="preserve"> </w:t>
      </w:r>
      <w:r w:rsidR="004729AE" w:rsidRPr="00153F47">
        <w:t xml:space="preserve">among hospitalized older adults </w:t>
      </w:r>
      <w:r w:rsidR="008833A9" w:rsidRPr="00153F47">
        <w:t>show rates ranging</w:t>
      </w:r>
      <w:r w:rsidR="004729AE" w:rsidRPr="00153F47">
        <w:t xml:space="preserve"> from 12</w:t>
      </w:r>
      <w:r w:rsidR="007B4396">
        <w:t>%</w:t>
      </w:r>
      <w:r w:rsidR="004729AE" w:rsidRPr="00153F47">
        <w:t xml:space="preserve"> to 70% (Mogensen and DiMaria-Ghalili, 2015). </w:t>
      </w:r>
    </w:p>
    <w:p w:rsidR="006F5FE6" w:rsidRPr="00153F47" w:rsidRDefault="006F5FE6" w:rsidP="003F2746">
      <w:pPr>
        <w:spacing w:line="240" w:lineRule="auto"/>
      </w:pPr>
      <w:r w:rsidRPr="00153F47">
        <w:t>In</w:t>
      </w:r>
      <w:r w:rsidR="007B4396">
        <w:t xml:space="preserve"> 2013,</w:t>
      </w:r>
      <w:r w:rsidR="00CB5A8D" w:rsidRPr="00153F47">
        <w:t xml:space="preserve"> </w:t>
      </w:r>
      <w:r w:rsidR="00BA18D7" w:rsidRPr="00153F47">
        <w:t>3</w:t>
      </w:r>
      <w:r w:rsidRPr="00153F47">
        <w:t xml:space="preserve">% of </w:t>
      </w:r>
      <w:r w:rsidR="007B4396">
        <w:t xml:space="preserve">U.S. </w:t>
      </w:r>
      <w:r w:rsidRPr="00153F47">
        <w:t>adult hospital inpati</w:t>
      </w:r>
      <w:r w:rsidR="004729AE" w:rsidRPr="00153F47">
        <w:t xml:space="preserve">ent stays involved </w:t>
      </w:r>
      <w:r w:rsidR="00CB71C2">
        <w:t xml:space="preserve">documented </w:t>
      </w:r>
      <w:r w:rsidR="004729AE" w:rsidRPr="00153F47">
        <w:t xml:space="preserve">malnutrition </w:t>
      </w:r>
      <w:r w:rsidRPr="00153F47">
        <w:t>codes, most commonly protein/calorie undern</w:t>
      </w:r>
      <w:r w:rsidR="00DC47A7">
        <w:t>utrition in 64% of patients</w:t>
      </w:r>
      <w:r w:rsidR="001F50A2">
        <w:t>.  In 22% of patients with</w:t>
      </w:r>
      <w:r w:rsidR="004729AE" w:rsidRPr="00153F47">
        <w:t xml:space="preserve"> malnutrition codes,</w:t>
      </w:r>
      <w:r w:rsidRPr="00153F47">
        <w:t xml:space="preserve"> the diagnosis was weight loss or failure to thrive.  Patients tended to be older, especially age 85 and over (Weiss et al., 2016).  When considering non</w:t>
      </w:r>
      <w:r w:rsidR="00CE54E0">
        <w:t>-</w:t>
      </w:r>
      <w:r w:rsidRPr="00153F47">
        <w:t xml:space="preserve">maternal/neonatal </w:t>
      </w:r>
      <w:r w:rsidR="00BA18D7" w:rsidRPr="00153F47">
        <w:t xml:space="preserve">adult </w:t>
      </w:r>
      <w:r w:rsidRPr="00153F47">
        <w:t>stays the percent</w:t>
      </w:r>
      <w:r w:rsidR="008833A9" w:rsidRPr="00153F47">
        <w:t>age of hospital stays involving</w:t>
      </w:r>
      <w:r w:rsidRPr="00153F47">
        <w:t xml:space="preserve"> </w:t>
      </w:r>
      <w:r w:rsidR="007B4396">
        <w:t xml:space="preserve">documented </w:t>
      </w:r>
      <w:r w:rsidRPr="00153F47">
        <w:t>malnutrition</w:t>
      </w:r>
      <w:r w:rsidR="008833A9" w:rsidRPr="00153F47">
        <w:t xml:space="preserve"> codes</w:t>
      </w:r>
      <w:r w:rsidR="00BA18D7" w:rsidRPr="00153F47">
        <w:t xml:space="preserve"> rises to 7%.  African A</w:t>
      </w:r>
      <w:r w:rsidRPr="00153F47">
        <w:t>mericans, people with low incomes</w:t>
      </w:r>
      <w:r w:rsidR="007B4396">
        <w:t>,</w:t>
      </w:r>
      <w:r w:rsidRPr="00153F47">
        <w:t xml:space="preserve"> and those living in rural areas had the highest</w:t>
      </w:r>
      <w:r w:rsidR="004729AE" w:rsidRPr="00153F47">
        <w:t xml:space="preserve"> hospitalization </w:t>
      </w:r>
      <w:r w:rsidRPr="00153F47">
        <w:t xml:space="preserve">rates for malnutrition (Weiss et al., 2016).  Patients with a malnutrition diagnosis were more likely to be admitted to </w:t>
      </w:r>
      <w:r w:rsidR="007B4396">
        <w:t xml:space="preserve">the </w:t>
      </w:r>
      <w:r w:rsidRPr="00153F47">
        <w:t xml:space="preserve">hospital on an emergency basis, experience infections, </w:t>
      </w:r>
      <w:r w:rsidR="004729AE" w:rsidRPr="00153F47">
        <w:t xml:space="preserve">receive </w:t>
      </w:r>
      <w:r w:rsidRPr="00153F47">
        <w:t>home care</w:t>
      </w:r>
      <w:r w:rsidR="004729AE" w:rsidRPr="00153F47">
        <w:t xml:space="preserve"> post-discharge,</w:t>
      </w:r>
      <w:r w:rsidRPr="00153F47">
        <w:t xml:space="preserve"> have at least one of more than 27 co-morbid conditions</w:t>
      </w:r>
      <w:r w:rsidR="008833A9" w:rsidRPr="00153F47">
        <w:t>, or</w:t>
      </w:r>
      <w:r w:rsidR="004729AE" w:rsidRPr="00153F47">
        <w:t xml:space="preserve"> die</w:t>
      </w:r>
      <w:r w:rsidRPr="00153F47">
        <w:t xml:space="preserve"> (Corkins et al., 2010). </w:t>
      </w:r>
      <w:r w:rsidR="009C774F">
        <w:t>Please note that malnutrition is often not dia</w:t>
      </w:r>
      <w:r w:rsidR="007B4396">
        <w:t xml:space="preserve">gnosed or </w:t>
      </w:r>
      <w:r w:rsidR="001F50A2">
        <w:t xml:space="preserve">is </w:t>
      </w:r>
      <w:r w:rsidR="007B4396">
        <w:t>misdiagnosed</w:t>
      </w:r>
      <w:r w:rsidR="005D4FB1">
        <w:t xml:space="preserve"> (</w:t>
      </w:r>
      <w:r w:rsidR="005D4FB1" w:rsidRPr="005D4FB1">
        <w:t>Guenter et al., 2015</w:t>
      </w:r>
      <w:r w:rsidR="005D4FB1">
        <w:t>)</w:t>
      </w:r>
      <w:r w:rsidR="007B4396">
        <w:t>, so the</w:t>
      </w:r>
      <w:r w:rsidR="009C774F">
        <w:t xml:space="preserve"> rates </w:t>
      </w:r>
      <w:r w:rsidR="007B4396">
        <w:t xml:space="preserve">reported above </w:t>
      </w:r>
      <w:r w:rsidR="009C774F">
        <w:t>are likely lower than older adults’ actual experience.</w:t>
      </w:r>
    </w:p>
    <w:p w:rsidR="006F5FE6" w:rsidRPr="00153F47" w:rsidRDefault="006F5FE6" w:rsidP="003F2746">
      <w:pPr>
        <w:spacing w:line="240" w:lineRule="auto"/>
      </w:pPr>
      <w:r w:rsidRPr="00153F47">
        <w:t>Malnutrition during hospitalization can occur because of re</w:t>
      </w:r>
      <w:r w:rsidR="00204CBB" w:rsidRPr="00153F47">
        <w:t xml:space="preserve">duced </w:t>
      </w:r>
      <w:r w:rsidR="00BE4698">
        <w:t>nutrition</w:t>
      </w:r>
      <w:r w:rsidR="00204CBB" w:rsidRPr="00153F47">
        <w:t xml:space="preserve"> intake due to</w:t>
      </w:r>
      <w:r w:rsidRPr="00153F47">
        <w:t xml:space="preserve"> illness-induced poor appetite, gastrointestinal symptoms, reduced ability to chew or swallow, or</w:t>
      </w:r>
      <w:r w:rsidR="009C774F">
        <w:t xml:space="preserve"> medical</w:t>
      </w:r>
      <w:r w:rsidRPr="00153F47">
        <w:t xml:space="preserve"> requirements that the patient take nothing by mouth.  Patients may have increased energy and protein needs during hospitalization due to inflammation, infection or other conditions (Guenter et al., 2015; Tappenden et al., 2013).</w:t>
      </w:r>
    </w:p>
    <w:p w:rsidR="00CB5A8D" w:rsidRPr="00153F47" w:rsidRDefault="00CB5A8D" w:rsidP="003F2746">
      <w:pPr>
        <w:spacing w:line="240" w:lineRule="auto"/>
      </w:pPr>
      <w:r w:rsidRPr="00153F47">
        <w:t>Two Southern US studies of adults age 6</w:t>
      </w:r>
      <w:r w:rsidR="009C774F">
        <w:t>5 and over support these conclusions</w:t>
      </w:r>
      <w:r w:rsidRPr="00153F47">
        <w:t xml:space="preserve">.  One found that high </w:t>
      </w:r>
      <w:r w:rsidR="00BE4698">
        <w:t>nutrition</w:t>
      </w:r>
      <w:r w:rsidRPr="00153F47">
        <w:t xml:space="preserve"> risk was associated with a 51% increase in all cause and non-surgical hospital inpatient admissions.  Moderate </w:t>
      </w:r>
      <w:r w:rsidR="00BE4698">
        <w:t>nutrition</w:t>
      </w:r>
      <w:r w:rsidRPr="00153F47">
        <w:t xml:space="preserve"> risk was associated with mortality in the same population (Buys et al., 2014).  A study of older emergency department patients </w:t>
      </w:r>
      <w:r w:rsidR="00C64C5A">
        <w:t xml:space="preserve">who lived in the community </w:t>
      </w:r>
      <w:r w:rsidRPr="00153F47">
        <w:t>without cognitive impai</w:t>
      </w:r>
      <w:r w:rsidR="00C64C5A">
        <w:t>rment</w:t>
      </w:r>
      <w:r w:rsidRPr="00153F47">
        <w:t xml:space="preserve"> found that 16% had undernutrition and only 23% of them had a diagnosis.  Those subgroups at highest risk </w:t>
      </w:r>
      <w:r w:rsidR="008833A9" w:rsidRPr="00153F47">
        <w:t xml:space="preserve">of undernutrition </w:t>
      </w:r>
      <w:r w:rsidRPr="00153F47">
        <w:t>had difficulty buying groceries, symptoms of depression, or difficulty eating.  Forty percent of those with depression had undernutrition compared to 5.3% of those without depression (Pereira et al., 2015).</w:t>
      </w:r>
    </w:p>
    <w:p w:rsidR="006F5FE6" w:rsidRPr="00153F47" w:rsidRDefault="006F5FE6" w:rsidP="003F2746">
      <w:pPr>
        <w:spacing w:line="240" w:lineRule="auto"/>
      </w:pPr>
      <w:r w:rsidRPr="00153F47">
        <w:t>Hospital patie</w:t>
      </w:r>
      <w:r w:rsidR="0070547A">
        <w:t xml:space="preserve">nts can be </w:t>
      </w:r>
      <w:r w:rsidR="00C64C5A">
        <w:t>anxi</w:t>
      </w:r>
      <w:r w:rsidR="0070547A">
        <w:t xml:space="preserve">ous and frightened </w:t>
      </w:r>
      <w:r w:rsidR="00C64C5A">
        <w:t xml:space="preserve">about food supply </w:t>
      </w:r>
      <w:r w:rsidR="0070547A">
        <w:t>before entering a hospital, while there, and at discharge</w:t>
      </w:r>
      <w:r w:rsidRPr="00153F47">
        <w:t xml:space="preserve">. </w:t>
      </w:r>
      <w:r w:rsidR="0070547A" w:rsidRPr="0070547A">
        <w:t>Those with lower socioeconomic status and poorer health are more likely to experience food anxiety</w:t>
      </w:r>
      <w:r w:rsidR="00C34C4F">
        <w:t>.</w:t>
      </w:r>
      <w:r w:rsidR="0070547A" w:rsidRPr="0070547A">
        <w:t xml:space="preserve"> </w:t>
      </w:r>
      <w:r w:rsidR="0070547A">
        <w:t>R</w:t>
      </w:r>
      <w:r w:rsidRPr="00153F47">
        <w:t>eceipt of home-delivered meals after hospi</w:t>
      </w:r>
      <w:r w:rsidR="00C34C4F">
        <w:t>talization reduces food anxiety</w:t>
      </w:r>
      <w:r w:rsidR="00C34C4F" w:rsidRPr="00C34C4F">
        <w:t xml:space="preserve"> (Vaudin and Sahyoun, 2015).</w:t>
      </w:r>
      <w:r w:rsidRPr="00153F47">
        <w:t xml:space="preserve">  </w:t>
      </w:r>
    </w:p>
    <w:p w:rsidR="006F5FE6" w:rsidRPr="00B53104" w:rsidRDefault="004774B6" w:rsidP="00B53104">
      <w:pPr>
        <w:pStyle w:val="Heading1"/>
        <w:ind w:left="720"/>
        <w:rPr>
          <w:rFonts w:asciiTheme="minorHAnsi" w:hAnsiTheme="minorHAnsi"/>
          <w:sz w:val="22"/>
          <w:szCs w:val="22"/>
        </w:rPr>
      </w:pPr>
      <w:r w:rsidRPr="00B53104">
        <w:rPr>
          <w:rFonts w:asciiTheme="minorHAnsi" w:hAnsiTheme="minorHAnsi"/>
          <w:color w:val="auto"/>
          <w:sz w:val="22"/>
          <w:szCs w:val="22"/>
        </w:rPr>
        <w:t>5</w:t>
      </w:r>
      <w:r w:rsidR="00B53104">
        <w:rPr>
          <w:rFonts w:asciiTheme="minorHAnsi" w:hAnsiTheme="minorHAnsi"/>
          <w:color w:val="auto"/>
          <w:sz w:val="22"/>
          <w:szCs w:val="22"/>
        </w:rPr>
        <w:t>.b</w:t>
      </w:r>
      <w:r w:rsidR="00443AA8">
        <w:rPr>
          <w:rFonts w:asciiTheme="minorHAnsi" w:hAnsiTheme="minorHAnsi"/>
          <w:color w:val="auto"/>
          <w:sz w:val="22"/>
          <w:szCs w:val="22"/>
        </w:rPr>
        <w:t>.</w:t>
      </w:r>
      <w:bookmarkStart w:id="0" w:name="_GoBack"/>
      <w:bookmarkEnd w:id="0"/>
      <w:r w:rsidR="00B256AB" w:rsidRPr="00B53104">
        <w:rPr>
          <w:rFonts w:asciiTheme="minorHAnsi" w:hAnsiTheme="minorHAnsi"/>
          <w:color w:val="auto"/>
          <w:sz w:val="22"/>
          <w:szCs w:val="22"/>
        </w:rPr>
        <w:t xml:space="preserve"> </w:t>
      </w:r>
      <w:r w:rsidR="003B115A" w:rsidRPr="00B53104">
        <w:rPr>
          <w:rFonts w:asciiTheme="minorHAnsi" w:hAnsiTheme="minorHAnsi"/>
          <w:color w:val="auto"/>
          <w:sz w:val="22"/>
          <w:szCs w:val="22"/>
        </w:rPr>
        <w:t>Interventions d</w:t>
      </w:r>
      <w:r w:rsidR="00FB0F5B" w:rsidRPr="00B53104">
        <w:rPr>
          <w:rFonts w:asciiTheme="minorHAnsi" w:hAnsiTheme="minorHAnsi"/>
          <w:color w:val="auto"/>
          <w:sz w:val="22"/>
          <w:szCs w:val="22"/>
        </w:rPr>
        <w:t>uring</w:t>
      </w:r>
      <w:r w:rsidR="006F5FE6" w:rsidRPr="00B53104">
        <w:rPr>
          <w:rFonts w:asciiTheme="minorHAnsi" w:hAnsiTheme="minorHAnsi"/>
          <w:color w:val="auto"/>
          <w:sz w:val="22"/>
          <w:szCs w:val="22"/>
        </w:rPr>
        <w:t xml:space="preserve"> Hospitalization and Care Transitions</w:t>
      </w:r>
    </w:p>
    <w:p w:rsidR="004F28EC" w:rsidRPr="00153F47" w:rsidRDefault="006F5FE6" w:rsidP="003F2746">
      <w:pPr>
        <w:spacing w:line="240" w:lineRule="auto"/>
      </w:pPr>
      <w:r w:rsidRPr="00153F47">
        <w:t xml:space="preserve">Several </w:t>
      </w:r>
      <w:r w:rsidR="004F28EC" w:rsidRPr="00153F47">
        <w:t xml:space="preserve">researchers and certain professional </w:t>
      </w:r>
      <w:r w:rsidRPr="00153F47">
        <w:t xml:space="preserve">groups advocate identifying those hospital patients at risk of malnutrition and implementing interventions to address the problem.  </w:t>
      </w:r>
    </w:p>
    <w:p w:rsidR="004F28EC" w:rsidRPr="00697F18" w:rsidRDefault="006F5FE6" w:rsidP="003F2746">
      <w:pPr>
        <w:pStyle w:val="ListParagraph"/>
        <w:numPr>
          <w:ilvl w:val="0"/>
          <w:numId w:val="12"/>
        </w:numPr>
        <w:spacing w:line="240" w:lineRule="auto"/>
      </w:pPr>
      <w:r w:rsidRPr="00153F47">
        <w:t>Guenter and colleagues (2015) state that the care system should identify the person who is at risk of malnutrition, who is actually malnourished, and introduce nutrition intervent</w:t>
      </w:r>
      <w:r w:rsidR="00C64C5A">
        <w:t xml:space="preserve">ions as early </w:t>
      </w:r>
      <w:r w:rsidR="00C64C5A" w:rsidRPr="00697F18">
        <w:t>as possible and during</w:t>
      </w:r>
      <w:r w:rsidRPr="00697F18">
        <w:t xml:space="preserve"> discharge planning</w:t>
      </w:r>
      <w:r w:rsidR="004F28EC" w:rsidRPr="00697F18">
        <w:t>.  Hospital patients should have a screening upon admission and at least weekly thereafter. (Bauer et al., 2010)</w:t>
      </w:r>
    </w:p>
    <w:p w:rsidR="000E4697" w:rsidRPr="00697F18" w:rsidRDefault="00594C51" w:rsidP="000E4697">
      <w:pPr>
        <w:pStyle w:val="ListParagraph"/>
        <w:numPr>
          <w:ilvl w:val="0"/>
          <w:numId w:val="12"/>
        </w:numPr>
        <w:spacing w:line="240" w:lineRule="auto"/>
      </w:pPr>
      <w:r w:rsidRPr="00697F18">
        <w:lastRenderedPageBreak/>
        <w:t>The Joint Commission</w:t>
      </w:r>
      <w:r w:rsidRPr="00697F18">
        <w:rPr>
          <w:rStyle w:val="FootnoteReference"/>
        </w:rPr>
        <w:footnoteReference w:id="7"/>
      </w:r>
      <w:r w:rsidR="00077962" w:rsidRPr="00697F18">
        <w:t xml:space="preserve"> requires</w:t>
      </w:r>
      <w:r w:rsidR="006F5FE6" w:rsidRPr="00697F18">
        <w:t xml:space="preserve"> </w:t>
      </w:r>
      <w:r w:rsidR="00BE4698" w:rsidRPr="00697F18">
        <w:t>nutrition</w:t>
      </w:r>
      <w:r w:rsidR="00077962" w:rsidRPr="00697F18">
        <w:t xml:space="preserve"> </w:t>
      </w:r>
      <w:r w:rsidR="006F5FE6" w:rsidRPr="00697F18">
        <w:t>screening</w:t>
      </w:r>
      <w:r w:rsidR="00077962" w:rsidRPr="00697F18">
        <w:t>, when the patient needs it,</w:t>
      </w:r>
      <w:r w:rsidR="006F5FE6" w:rsidRPr="00697F18">
        <w:t xml:space="preserve"> within 24 hours of inpatient admission</w:t>
      </w:r>
      <w:r w:rsidR="006F5FE6" w:rsidRPr="00697F18">
        <w:rPr>
          <w:rStyle w:val="Strong"/>
          <w:rFonts w:cs="Helvetica"/>
          <w:b w:val="0"/>
          <w:lang w:val="en-GB"/>
        </w:rPr>
        <w:t>.</w:t>
      </w:r>
      <w:r w:rsidR="006F5FE6" w:rsidRPr="00697F18">
        <w:rPr>
          <w:b/>
        </w:rPr>
        <w:t xml:space="preserve">  </w:t>
      </w:r>
      <w:r w:rsidRPr="00697F18">
        <w:t xml:space="preserve">The </w:t>
      </w:r>
      <w:r w:rsidR="006F5FE6" w:rsidRPr="00697F18">
        <w:t xml:space="preserve">Commission recommends that </w:t>
      </w:r>
      <w:r w:rsidR="00077962" w:rsidRPr="00697F18">
        <w:t>patients receive assessments and nutrition interventions when needed.</w:t>
      </w:r>
      <w:r w:rsidR="004F28EC" w:rsidRPr="00697F18">
        <w:t xml:space="preserve">  </w:t>
      </w:r>
      <w:r w:rsidR="00077962" w:rsidRPr="00697F18">
        <w:t>(Guenter et al., 2015)</w:t>
      </w:r>
    </w:p>
    <w:p w:rsidR="006F5FE6" w:rsidRPr="00153F47" w:rsidRDefault="006F5FE6" w:rsidP="005275BC">
      <w:pPr>
        <w:spacing w:line="240" w:lineRule="auto"/>
      </w:pPr>
      <w:r w:rsidRPr="00153F47">
        <w:t xml:space="preserve">The Alliance to Advance Patient Nutrition </w:t>
      </w:r>
      <w:r w:rsidR="005275BC" w:rsidRPr="00153F47">
        <w:t>recommends improving</w:t>
      </w:r>
      <w:r w:rsidRPr="00153F47">
        <w:t xml:space="preserve"> hospital nutrition practices by encouraging identification of patients with</w:t>
      </w:r>
      <w:r w:rsidR="005275BC" w:rsidRPr="00153F47">
        <w:t xml:space="preserve"> or at risk of</w:t>
      </w:r>
      <w:r w:rsidRPr="00153F47">
        <w:t xml:space="preserve"> </w:t>
      </w:r>
      <w:r w:rsidR="005275BC" w:rsidRPr="00153F47">
        <w:t>malnutrition</w:t>
      </w:r>
      <w:r w:rsidRPr="00153F47">
        <w:t>, promoting early nutrition intervention and treatment, and including nutrition as a standard component of care (Tappenden et al., 2013</w:t>
      </w:r>
      <w:r w:rsidR="004F28EC" w:rsidRPr="00153F47">
        <w:t xml:space="preserve">). </w:t>
      </w:r>
      <w:r w:rsidRPr="00153F47">
        <w:t>The Alliance offers detailed re</w:t>
      </w:r>
      <w:r w:rsidR="00FB0F5B">
        <w:t>commendations for implementing six</w:t>
      </w:r>
      <w:r w:rsidRPr="00153F47">
        <w:t xml:space="preserve"> principles for improving hospital patients</w:t>
      </w:r>
      <w:r w:rsidR="004F28EC" w:rsidRPr="00153F47">
        <w:t>’</w:t>
      </w:r>
      <w:r w:rsidRPr="00153F47">
        <w:t xml:space="preserve"> nutrition and thereby reducing risks for many adverse outcomes.  The principles are:</w:t>
      </w:r>
    </w:p>
    <w:p w:rsidR="006F5FE6" w:rsidRPr="00153F47" w:rsidRDefault="006F5FE6" w:rsidP="003F2746">
      <w:pPr>
        <w:pStyle w:val="ListParagraph"/>
        <w:numPr>
          <w:ilvl w:val="0"/>
          <w:numId w:val="2"/>
        </w:numPr>
        <w:spacing w:line="240" w:lineRule="auto"/>
      </w:pPr>
      <w:r w:rsidRPr="00153F47">
        <w:t>Cre</w:t>
      </w:r>
      <w:r w:rsidR="00FB0F5B">
        <w:t>ate an institutional culture that</w:t>
      </w:r>
      <w:r w:rsidRPr="00153F47">
        <w:t xml:space="preserve"> supports adequate nutrition.</w:t>
      </w:r>
    </w:p>
    <w:p w:rsidR="006F5FE6" w:rsidRPr="00153F47" w:rsidRDefault="006F5FE6" w:rsidP="003F2746">
      <w:pPr>
        <w:pStyle w:val="ListParagraph"/>
        <w:numPr>
          <w:ilvl w:val="0"/>
          <w:numId w:val="2"/>
        </w:numPr>
        <w:spacing w:line="240" w:lineRule="auto"/>
      </w:pPr>
      <w:r w:rsidRPr="00153F47">
        <w:t>Ensure clinicians include nutrition as one of their responsibilities.</w:t>
      </w:r>
    </w:p>
    <w:p w:rsidR="006F5FE6" w:rsidRPr="00153F47" w:rsidRDefault="006F5FE6" w:rsidP="003F2746">
      <w:pPr>
        <w:pStyle w:val="ListParagraph"/>
        <w:numPr>
          <w:ilvl w:val="0"/>
          <w:numId w:val="2"/>
        </w:numPr>
        <w:spacing w:line="240" w:lineRule="auto"/>
      </w:pPr>
      <w:r w:rsidRPr="00153F47">
        <w:t>Recognize and diagnose all patients at risk</w:t>
      </w:r>
      <w:r w:rsidR="00FB0F5B">
        <w:t xml:space="preserve"> of malnutrition</w:t>
      </w:r>
      <w:r w:rsidRPr="00153F47">
        <w:t xml:space="preserve"> using valid screening and assessment tools.</w:t>
      </w:r>
    </w:p>
    <w:p w:rsidR="006F5FE6" w:rsidRPr="00153F47" w:rsidRDefault="006F5FE6" w:rsidP="003F2746">
      <w:pPr>
        <w:pStyle w:val="ListParagraph"/>
        <w:numPr>
          <w:ilvl w:val="0"/>
          <w:numId w:val="2"/>
        </w:numPr>
        <w:spacing w:line="240" w:lineRule="auto"/>
      </w:pPr>
      <w:r w:rsidRPr="00153F47">
        <w:t>Rapidly implement and monitor interventions</w:t>
      </w:r>
      <w:r w:rsidR="00FB0F5B">
        <w:t>.</w:t>
      </w:r>
    </w:p>
    <w:p w:rsidR="006F5FE6" w:rsidRPr="00153F47" w:rsidRDefault="006F5FE6" w:rsidP="003F2746">
      <w:pPr>
        <w:pStyle w:val="ListParagraph"/>
        <w:numPr>
          <w:ilvl w:val="0"/>
          <w:numId w:val="2"/>
        </w:numPr>
        <w:spacing w:line="240" w:lineRule="auto"/>
      </w:pPr>
      <w:r w:rsidRPr="00153F47">
        <w:t>Communicate nutrition plans</w:t>
      </w:r>
      <w:r w:rsidR="00FB0F5B">
        <w:t>.</w:t>
      </w:r>
    </w:p>
    <w:p w:rsidR="006F5FE6" w:rsidRPr="00153F47" w:rsidRDefault="006F5FE6" w:rsidP="003F2746">
      <w:pPr>
        <w:pStyle w:val="ListParagraph"/>
        <w:numPr>
          <w:ilvl w:val="0"/>
          <w:numId w:val="2"/>
        </w:numPr>
        <w:spacing w:line="240" w:lineRule="auto"/>
      </w:pPr>
      <w:r w:rsidRPr="00153F47">
        <w:t>Develop discharge nut</w:t>
      </w:r>
      <w:r w:rsidR="00FB0F5B">
        <w:t>rition care and education plans</w:t>
      </w:r>
      <w:r w:rsidRPr="00153F47">
        <w:t xml:space="preserve"> (Tappenden et al., 2013)</w:t>
      </w:r>
      <w:r w:rsidR="00FB0F5B">
        <w:t>.</w:t>
      </w:r>
    </w:p>
    <w:p w:rsidR="004F28EC" w:rsidRPr="00153F47" w:rsidRDefault="004F28EC" w:rsidP="003F2746">
      <w:pPr>
        <w:spacing w:line="240" w:lineRule="auto"/>
      </w:pPr>
      <w:r w:rsidRPr="00153F47">
        <w:t xml:space="preserve">Nutrition interventions </w:t>
      </w:r>
      <w:r w:rsidR="005D4FB1">
        <w:t xml:space="preserve">around hospitalization </w:t>
      </w:r>
      <w:r w:rsidRPr="00153F47">
        <w:t xml:space="preserve">fall into 4 categories: nutrition delivery, nutrition education, nutrition counseling, and coordination of nutrition care. </w:t>
      </w:r>
      <w:r w:rsidR="00594C51">
        <w:t xml:space="preserve"> </w:t>
      </w:r>
      <w:r w:rsidR="006F5FE6" w:rsidRPr="00153F47">
        <w:t>Specific nutrition interventions may include lifting diet restriction</w:t>
      </w:r>
      <w:r w:rsidRPr="00153F47">
        <w:t>s</w:t>
      </w:r>
      <w:r w:rsidR="006F5FE6" w:rsidRPr="00153F47">
        <w:t xml:space="preserve">, encouraging frequent nutrient dense meals, and use of </w:t>
      </w:r>
      <w:r w:rsidR="00F00BA2">
        <w:t>oral nutrition supplements (</w:t>
      </w:r>
      <w:r w:rsidR="0021646D">
        <w:t>ONS</w:t>
      </w:r>
      <w:r w:rsidR="00F00BA2">
        <w:t>)</w:t>
      </w:r>
      <w:r w:rsidR="006F5FE6" w:rsidRPr="00153F47">
        <w:t xml:space="preserve"> </w:t>
      </w:r>
      <w:r w:rsidR="00EE07F7">
        <w:t xml:space="preserve">to increase caloric or </w:t>
      </w:r>
      <w:r w:rsidR="00BE4698">
        <w:t>nutrition</w:t>
      </w:r>
      <w:r w:rsidR="00EE07F7">
        <w:t xml:space="preserve"> consumption </w:t>
      </w:r>
      <w:r w:rsidR="006F5FE6" w:rsidRPr="00153F47">
        <w:t xml:space="preserve">(Mogensen and DiMaria-Ghalili, 2015). </w:t>
      </w:r>
    </w:p>
    <w:p w:rsidR="004E01EE" w:rsidRPr="00153F47" w:rsidRDefault="004F28EC" w:rsidP="003F2746">
      <w:pPr>
        <w:spacing w:line="240" w:lineRule="auto"/>
      </w:pPr>
      <w:r w:rsidRPr="00153F47">
        <w:t xml:space="preserve">Nutrition interventions significantly reduce complication rates, length of hospital stays, readmission rates, and sometimes death rates (Guenter et al., 2015).  </w:t>
      </w:r>
      <w:r w:rsidR="006F5FE6" w:rsidRPr="00153F47">
        <w:t xml:space="preserve"> Many studies of nutrition interventions</w:t>
      </w:r>
      <w:r w:rsidR="005275BC" w:rsidRPr="00153F47">
        <w:t>,</w:t>
      </w:r>
      <w:r w:rsidR="006F5FE6" w:rsidRPr="00153F47">
        <w:t xml:space="preserve"> primarily for older adults</w:t>
      </w:r>
      <w:r w:rsidR="005275BC" w:rsidRPr="00153F47">
        <w:t>,</w:t>
      </w:r>
      <w:r w:rsidR="006F5FE6" w:rsidRPr="00153F47">
        <w:t xml:space="preserve"> have shown substantially reduced complication rates, length of hospital stay, and sometimes mortality (Tappenden et al., 2013).  Studies have shown that high energy/high protein diets and </w:t>
      </w:r>
      <w:r w:rsidR="0021646D">
        <w:t>ONS</w:t>
      </w:r>
      <w:r w:rsidR="006F5FE6" w:rsidRPr="00153F47">
        <w:t xml:space="preserve"> may result in positive outcomes for older adults during hospitalization and post-discharge, although some</w:t>
      </w:r>
      <w:r w:rsidR="005275BC" w:rsidRPr="00153F47">
        <w:t xml:space="preserve"> people</w:t>
      </w:r>
      <w:r w:rsidR="006F5FE6" w:rsidRPr="00153F47">
        <w:t xml:space="preserve"> may have difficulty with supplements due to gastro</w:t>
      </w:r>
      <w:r w:rsidR="003B115A">
        <w:t>intestinal disturbances.</w:t>
      </w:r>
      <w:r w:rsidR="002C3912">
        <w:t xml:space="preserve"> </w:t>
      </w:r>
      <w:r w:rsidR="003B115A">
        <w:t xml:space="preserve"> Also, </w:t>
      </w:r>
      <w:r w:rsidR="006F5FE6" w:rsidRPr="00153F47">
        <w:t>treatment for some vitamin and mineral deficiencies may be necessary (Agarwal et al</w:t>
      </w:r>
      <w:r w:rsidR="00E21135">
        <w:t>.</w:t>
      </w:r>
      <w:r w:rsidR="006F5FE6" w:rsidRPr="00153F47">
        <w:t xml:space="preserve">, 2013).  </w:t>
      </w:r>
      <w:r w:rsidR="005275BC" w:rsidRPr="00153F47">
        <w:t>Specific study results follow.</w:t>
      </w:r>
    </w:p>
    <w:p w:rsidR="00C64C5A" w:rsidRPr="00153F47" w:rsidRDefault="00C64C5A" w:rsidP="00C64C5A">
      <w:pPr>
        <w:pStyle w:val="ListParagraph"/>
        <w:numPr>
          <w:ilvl w:val="0"/>
          <w:numId w:val="13"/>
        </w:numPr>
        <w:spacing w:line="240" w:lineRule="auto"/>
      </w:pPr>
      <w:r w:rsidRPr="00153F47">
        <w:t xml:space="preserve">A hospital-based study found that screening for malnutrition and providing snacks to those identified as </w:t>
      </w:r>
      <w:r w:rsidR="0075113A">
        <w:t>experiencing malnutrition</w:t>
      </w:r>
      <w:r w:rsidRPr="00153F47">
        <w:t xml:space="preserve"> reduced the length of stay in patients with low grip strength (Silver, 2009).</w:t>
      </w:r>
    </w:p>
    <w:p w:rsidR="00C64C5A" w:rsidRPr="00153F47" w:rsidRDefault="00D17612" w:rsidP="00C64C5A">
      <w:pPr>
        <w:pStyle w:val="ListParagraph"/>
        <w:numPr>
          <w:ilvl w:val="0"/>
          <w:numId w:val="13"/>
        </w:numPr>
        <w:spacing w:line="240" w:lineRule="auto"/>
      </w:pPr>
      <w:r>
        <w:t>In Texas,</w:t>
      </w:r>
      <w:r w:rsidR="00C64C5A" w:rsidRPr="00153F47">
        <w:t xml:space="preserve"> </w:t>
      </w:r>
      <w:r>
        <w:t>people who</w:t>
      </w:r>
      <w:r w:rsidR="00C64C5A" w:rsidRPr="00153F47">
        <w:t xml:space="preserve"> recently </w:t>
      </w:r>
      <w:r w:rsidR="00C64C5A">
        <w:t xml:space="preserve">used the </w:t>
      </w:r>
      <w:r w:rsidR="00C64C5A" w:rsidRPr="00153F47">
        <w:t>hospital or emergency department were enrolled in a study</w:t>
      </w:r>
      <w:r>
        <w:t xml:space="preserve"> where a</w:t>
      </w:r>
      <w:r w:rsidR="00C64C5A" w:rsidRPr="00153F47">
        <w:t xml:space="preserve"> local agency delivered meals and medication manag</w:t>
      </w:r>
      <w:r w:rsidR="00C64C5A">
        <w:t xml:space="preserve">ement services in collaboration </w:t>
      </w:r>
      <w:r w:rsidR="00C64C5A" w:rsidRPr="00153F47">
        <w:t xml:space="preserve">with local hospitals. Self-report data </w:t>
      </w:r>
      <w:r w:rsidR="00C64C5A">
        <w:t xml:space="preserve">showed less health care use </w:t>
      </w:r>
      <w:r w:rsidR="00C64C5A" w:rsidRPr="00153F47">
        <w:t>than would be expected compared to those</w:t>
      </w:r>
      <w:r w:rsidR="00C64C5A">
        <w:t xml:space="preserve"> with a similar profile</w:t>
      </w:r>
      <w:r w:rsidR="00C64C5A" w:rsidRPr="00153F47">
        <w:t xml:space="preserve"> from the National Health Interview Survey (Cho et al., 2015).</w:t>
      </w:r>
    </w:p>
    <w:p w:rsidR="00C64C5A" w:rsidRPr="00153F47" w:rsidRDefault="00C64C5A" w:rsidP="00C64C5A">
      <w:pPr>
        <w:pStyle w:val="ListParagraph"/>
        <w:numPr>
          <w:ilvl w:val="0"/>
          <w:numId w:val="7"/>
        </w:numPr>
        <w:spacing w:line="240" w:lineRule="auto"/>
      </w:pPr>
      <w:r w:rsidRPr="00153F47">
        <w:t>A study of claims data found reduced hospitalization for Medicaid HCBS waiver participants who had meals as part of the</w:t>
      </w:r>
      <w:r>
        <w:t>ir</w:t>
      </w:r>
      <w:r w:rsidR="002F3F2E">
        <w:t xml:space="preserve"> services in Indiana. (Xu et al., 2010</w:t>
      </w:r>
      <w:r w:rsidRPr="00153F47">
        <w:t>)</w:t>
      </w:r>
    </w:p>
    <w:p w:rsidR="004F28EC" w:rsidRPr="00153F47" w:rsidRDefault="004E01EE" w:rsidP="003F2746">
      <w:pPr>
        <w:pStyle w:val="ListParagraph"/>
        <w:numPr>
          <w:ilvl w:val="0"/>
          <w:numId w:val="13"/>
        </w:numPr>
        <w:spacing w:line="240" w:lineRule="auto"/>
      </w:pPr>
      <w:r w:rsidRPr="00153F47">
        <w:t>In randomized-controlled trials, hospitalized older adults experienced decreased hospital readmissions, reduced mortality, and improved depression and quality of life scores when using ONS for 6 months.  ONS appear</w:t>
      </w:r>
      <w:r w:rsidR="005275BC" w:rsidRPr="00153F47">
        <w:t xml:space="preserve">s to increase body weight in randomized-controlled trials. </w:t>
      </w:r>
      <w:r w:rsidR="002C3912">
        <w:t xml:space="preserve"> </w:t>
      </w:r>
      <w:r w:rsidR="005275BC" w:rsidRPr="00153F47">
        <w:t xml:space="preserve">ONS </w:t>
      </w:r>
      <w:r w:rsidR="002C3912">
        <w:lastRenderedPageBreak/>
        <w:t>also may also decrease</w:t>
      </w:r>
      <w:r w:rsidR="005275BC" w:rsidRPr="00153F47">
        <w:t xml:space="preserve"> </w:t>
      </w:r>
      <w:r w:rsidRPr="00153F47">
        <w:t>hospital infections, incomplete wound healing, pressure s</w:t>
      </w:r>
      <w:r w:rsidR="005275BC" w:rsidRPr="00153F47">
        <w:t>ores or exacerbation of disease</w:t>
      </w:r>
      <w:r w:rsidRPr="00153F47">
        <w:t xml:space="preserve"> (Silver, 2009)</w:t>
      </w:r>
      <w:r w:rsidR="005275BC" w:rsidRPr="00153F47">
        <w:t>.</w:t>
      </w:r>
    </w:p>
    <w:p w:rsidR="004F28EC" w:rsidRPr="00153F47" w:rsidRDefault="00E170AF" w:rsidP="003F2746">
      <w:pPr>
        <w:pStyle w:val="ListParagraph"/>
        <w:numPr>
          <w:ilvl w:val="0"/>
          <w:numId w:val="13"/>
        </w:numPr>
        <w:spacing w:line="240" w:lineRule="auto"/>
      </w:pPr>
      <w:r w:rsidRPr="00153F47">
        <w:t>Use of h</w:t>
      </w:r>
      <w:r w:rsidR="005275BC" w:rsidRPr="00153F47">
        <w:t>igh protein supplementation</w:t>
      </w:r>
      <w:r w:rsidRPr="00153F47">
        <w:t xml:space="preserve"> led to reduced length of hospital stay and reduction in hospital readmission rates.  In addition</w:t>
      </w:r>
      <w:r w:rsidR="00BA2808" w:rsidRPr="00153F47">
        <w:t>,</w:t>
      </w:r>
      <w:r w:rsidRPr="00153F47">
        <w:t xml:space="preserve"> use of supplements did not suppress</w:t>
      </w:r>
      <w:r w:rsidR="002C3912">
        <w:t xml:space="preserve"> food intake from other sources</w:t>
      </w:r>
      <w:r w:rsidRPr="00153F47">
        <w:t xml:space="preserve"> (Cawood et al., 2012)</w:t>
      </w:r>
      <w:r w:rsidR="002C3912">
        <w:t>.</w:t>
      </w:r>
    </w:p>
    <w:p w:rsidR="004F28EC" w:rsidRPr="00153F47" w:rsidRDefault="006F5FE6" w:rsidP="003F2746">
      <w:pPr>
        <w:pStyle w:val="ListParagraph"/>
        <w:numPr>
          <w:ilvl w:val="0"/>
          <w:numId w:val="13"/>
        </w:numPr>
        <w:spacing w:line="240" w:lineRule="auto"/>
      </w:pPr>
      <w:r w:rsidRPr="00153F47">
        <w:t>A retrospective study of adult inpatient</w:t>
      </w:r>
      <w:r w:rsidR="00BA2808" w:rsidRPr="00153F47">
        <w:t xml:space="preserve"> hospital</w:t>
      </w:r>
      <w:r w:rsidR="00490A74" w:rsidRPr="00153F47">
        <w:t xml:space="preserve"> episodes</w:t>
      </w:r>
      <w:r w:rsidR="002C3912">
        <w:t xml:space="preserve"> compared use of</w:t>
      </w:r>
      <w:r w:rsidRPr="00153F47">
        <w:t xml:space="preserve"> </w:t>
      </w:r>
      <w:r w:rsidR="0021646D">
        <w:t>ONS</w:t>
      </w:r>
      <w:r w:rsidR="002C3912">
        <w:t xml:space="preserve"> to the experiences of</w:t>
      </w:r>
      <w:r w:rsidRPr="00153F47">
        <w:t xml:space="preserve"> matched controls from 2000-2010</w:t>
      </w:r>
      <w:r w:rsidR="00490A74" w:rsidRPr="00153F47">
        <w:t>. It</w:t>
      </w:r>
      <w:r w:rsidRPr="00153F47">
        <w:t xml:space="preserve"> showed than ONS led to significant reductions in length of stay, and readmissions.  The results of t</w:t>
      </w:r>
      <w:r w:rsidR="00490A74" w:rsidRPr="00153F47">
        <w:t>his stud</w:t>
      </w:r>
      <w:r w:rsidR="00011FBA">
        <w:t>y are consistent with four</w:t>
      </w:r>
      <w:r w:rsidR="00490A74" w:rsidRPr="00153F47">
        <w:t xml:space="preserve"> </w:t>
      </w:r>
      <w:r w:rsidRPr="00153F47">
        <w:t xml:space="preserve">randomized-controlled </w:t>
      </w:r>
      <w:r w:rsidR="004F28EC" w:rsidRPr="00153F47">
        <w:t>trials (Philipson et al., 2013)</w:t>
      </w:r>
      <w:r w:rsidRPr="00153F47">
        <w:t xml:space="preserve">. </w:t>
      </w:r>
    </w:p>
    <w:p w:rsidR="009D2DAB" w:rsidRPr="00153F47" w:rsidRDefault="00D052D8" w:rsidP="009D2DAB">
      <w:pPr>
        <w:spacing w:line="240" w:lineRule="auto"/>
      </w:pPr>
      <w:r>
        <w:t>Available evidence</w:t>
      </w:r>
      <w:r w:rsidR="00AF6CAC">
        <w:t xml:space="preserve"> supports </w:t>
      </w:r>
      <w:r w:rsidR="009D2DAB" w:rsidRPr="00153F47">
        <w:t>nutrition interv</w:t>
      </w:r>
      <w:r w:rsidR="00872AED">
        <w:t>ention</w:t>
      </w:r>
      <w:r w:rsidR="00AF6CAC">
        <w:t>s</w:t>
      </w:r>
      <w:r w:rsidR="00872AED">
        <w:t xml:space="preserve"> in</w:t>
      </w:r>
      <w:r w:rsidR="00011FBA">
        <w:t xml:space="preserve"> the</w:t>
      </w:r>
      <w:r w:rsidR="00872AED">
        <w:t xml:space="preserve"> hospital and after discharge</w:t>
      </w:r>
      <w:r w:rsidR="00AF6CAC">
        <w:t xml:space="preserve"> for at-risk older adults</w:t>
      </w:r>
      <w:r w:rsidR="009D2DAB" w:rsidRPr="00153F47">
        <w:t xml:space="preserve">.  OAA nutrition programs are </w:t>
      </w:r>
      <w:r w:rsidR="002C5734">
        <w:t>uniquely positioned</w:t>
      </w:r>
      <w:r w:rsidR="009D2DAB" w:rsidRPr="00153F47">
        <w:t xml:space="preserve"> to improve outcom</w:t>
      </w:r>
      <w:r w:rsidR="00EE07F7">
        <w:t xml:space="preserve">es for </w:t>
      </w:r>
      <w:r w:rsidR="00AF6CAC">
        <w:t xml:space="preserve">this group </w:t>
      </w:r>
      <w:r w:rsidR="009D2DAB" w:rsidRPr="00153F47">
        <w:t xml:space="preserve">through nutrition programs, including nutrition screening, assessments, education, and meals. In addition, the Aging Network can connect older adults to other services for which they might qualify, including medication management and home and community-based long-term services and supports.  </w:t>
      </w:r>
    </w:p>
    <w:p w:rsidR="00F9419E" w:rsidRPr="00153F47" w:rsidRDefault="00985D40" w:rsidP="009A1159">
      <w:pPr>
        <w:spacing w:line="240" w:lineRule="auto"/>
        <w:ind w:left="720"/>
        <w:rPr>
          <w:b/>
        </w:rPr>
      </w:pPr>
      <w:r>
        <w:rPr>
          <w:b/>
        </w:rPr>
        <w:t>6.</w:t>
      </w:r>
      <w:r w:rsidR="00F9419E" w:rsidRPr="00153F47">
        <w:rPr>
          <w:b/>
        </w:rPr>
        <w:t xml:space="preserve"> </w:t>
      </w:r>
      <w:r w:rsidR="002C3912" w:rsidRPr="009A1159">
        <w:rPr>
          <w:rStyle w:val="Heading1Char"/>
          <w:rFonts w:asciiTheme="minorHAnsi" w:hAnsiTheme="minorHAnsi"/>
          <w:color w:val="auto"/>
          <w:sz w:val="22"/>
          <w:szCs w:val="22"/>
        </w:rPr>
        <w:t>Improving Nutrition</w:t>
      </w:r>
      <w:r w:rsidR="00F9419E" w:rsidRPr="009A1159">
        <w:rPr>
          <w:rStyle w:val="Heading1Char"/>
          <w:rFonts w:asciiTheme="minorHAnsi" w:hAnsiTheme="minorHAnsi"/>
          <w:color w:val="auto"/>
          <w:sz w:val="22"/>
          <w:szCs w:val="22"/>
        </w:rPr>
        <w:t xml:space="preserve"> among Older Adults</w:t>
      </w:r>
    </w:p>
    <w:p w:rsidR="00C5741B" w:rsidRPr="00F97D05" w:rsidRDefault="002C3912" w:rsidP="00F97D05">
      <w:pPr>
        <w:autoSpaceDE w:val="0"/>
        <w:autoSpaceDN w:val="0"/>
        <w:adjustRightInd w:val="0"/>
        <w:spacing w:after="0" w:line="240" w:lineRule="auto"/>
        <w:rPr>
          <w:rFonts w:cs="Times New Roman"/>
        </w:rPr>
      </w:pPr>
      <w:r>
        <w:rPr>
          <w:rFonts w:cs="Times New Roman"/>
        </w:rPr>
        <w:t>Available evidence indicates</w:t>
      </w:r>
      <w:r w:rsidR="005E2037" w:rsidRPr="00153F47">
        <w:rPr>
          <w:rFonts w:cs="Times New Roman"/>
        </w:rPr>
        <w:t xml:space="preserve"> that nutrition interventions</w:t>
      </w:r>
      <w:r w:rsidR="005B111D" w:rsidRPr="00153F47">
        <w:rPr>
          <w:rFonts w:cs="Times New Roman"/>
        </w:rPr>
        <w:t xml:space="preserve"> in the community and hospital settings</w:t>
      </w:r>
      <w:r w:rsidR="005E2037" w:rsidRPr="00153F47">
        <w:rPr>
          <w:rFonts w:cs="Times New Roman"/>
        </w:rPr>
        <w:t xml:space="preserve"> an</w:t>
      </w:r>
      <w:r w:rsidR="002C5734">
        <w:rPr>
          <w:rFonts w:cs="Times New Roman"/>
        </w:rPr>
        <w:t>d nutrition services programs for</w:t>
      </w:r>
      <w:r w:rsidR="005B111D" w:rsidRPr="00153F47">
        <w:rPr>
          <w:rFonts w:cs="Times New Roman"/>
        </w:rPr>
        <w:t xml:space="preserve"> older adults</w:t>
      </w:r>
      <w:r w:rsidR="005E2037" w:rsidRPr="00153F47">
        <w:rPr>
          <w:rFonts w:cs="Times New Roman"/>
        </w:rPr>
        <w:t xml:space="preserve"> can help </w:t>
      </w:r>
      <w:r w:rsidR="00BC5F0B">
        <w:rPr>
          <w:rFonts w:cs="Times New Roman"/>
        </w:rPr>
        <w:t>preserve</w:t>
      </w:r>
      <w:r w:rsidR="005E2037" w:rsidRPr="00153F47">
        <w:rPr>
          <w:rFonts w:cs="Times New Roman"/>
        </w:rPr>
        <w:t xml:space="preserve"> health and well-being as well as prevent</w:t>
      </w:r>
      <w:r w:rsidR="009641F8" w:rsidRPr="00153F47">
        <w:rPr>
          <w:rFonts w:cs="Times New Roman"/>
        </w:rPr>
        <w:t xml:space="preserve"> certain</w:t>
      </w:r>
      <w:r w:rsidR="005E2037" w:rsidRPr="00153F47">
        <w:rPr>
          <w:rFonts w:cs="Times New Roman"/>
        </w:rPr>
        <w:t xml:space="preserve"> health services use. </w:t>
      </w:r>
      <w:r w:rsidR="004740BE">
        <w:rPr>
          <w:rFonts w:cs="Times New Roman"/>
        </w:rPr>
        <w:t xml:space="preserve"> </w:t>
      </w:r>
      <w:r w:rsidR="003E31F8" w:rsidRPr="00153F47">
        <w:rPr>
          <w:rFonts w:cs="Times New Roman"/>
        </w:rPr>
        <w:t>States</w:t>
      </w:r>
      <w:r w:rsidR="00F97D05">
        <w:rPr>
          <w:rFonts w:cs="Times New Roman"/>
        </w:rPr>
        <w:t>, plans, and providers</w:t>
      </w:r>
      <w:r w:rsidR="003E31F8" w:rsidRPr="00153F47">
        <w:rPr>
          <w:rFonts w:cs="Times New Roman"/>
        </w:rPr>
        <w:t xml:space="preserve"> have </w:t>
      </w:r>
      <w:r w:rsidR="001F133E">
        <w:rPr>
          <w:rFonts w:cs="Times New Roman"/>
        </w:rPr>
        <w:t xml:space="preserve">utilized </w:t>
      </w:r>
      <w:r w:rsidR="003E31F8" w:rsidRPr="00153F47">
        <w:rPr>
          <w:rFonts w:cs="Times New Roman"/>
        </w:rPr>
        <w:t>a number of these interventions and programs to</w:t>
      </w:r>
      <w:r w:rsidR="00F97D05">
        <w:rPr>
          <w:rFonts w:cs="Times New Roman"/>
        </w:rPr>
        <w:t xml:space="preserve"> </w:t>
      </w:r>
      <w:r w:rsidR="00F97D05">
        <w:t>address malnutrition among older adults</w:t>
      </w:r>
      <w:r w:rsidR="002963C3">
        <w:t>.  Some examples</w:t>
      </w:r>
      <w:r w:rsidR="00F97D05">
        <w:t xml:space="preserve"> are: </w:t>
      </w:r>
    </w:p>
    <w:p w:rsidR="009449D8" w:rsidRDefault="009449D8" w:rsidP="009449D8">
      <w:pPr>
        <w:autoSpaceDE w:val="0"/>
        <w:autoSpaceDN w:val="0"/>
        <w:adjustRightInd w:val="0"/>
        <w:spacing w:after="0" w:line="240" w:lineRule="auto"/>
      </w:pPr>
    </w:p>
    <w:p w:rsidR="0082372F" w:rsidRPr="0082372F" w:rsidRDefault="00F97D05" w:rsidP="0082372F">
      <w:pPr>
        <w:pStyle w:val="ListParagraph"/>
        <w:numPr>
          <w:ilvl w:val="0"/>
          <w:numId w:val="7"/>
        </w:numPr>
        <w:autoSpaceDE w:val="0"/>
        <w:autoSpaceDN w:val="0"/>
        <w:adjustRightInd w:val="0"/>
        <w:spacing w:after="0" w:line="240" w:lineRule="auto"/>
      </w:pPr>
      <w:r w:rsidRPr="009449D8">
        <w:t>States</w:t>
      </w:r>
      <w:r w:rsidR="00593051" w:rsidRPr="009449D8">
        <w:t>, area agencies on aging, and other groups</w:t>
      </w:r>
      <w:r w:rsidR="0082372F">
        <w:t xml:space="preserve"> often</w:t>
      </w:r>
      <w:r w:rsidR="00593051" w:rsidRPr="009449D8">
        <w:t xml:space="preserve"> augment</w:t>
      </w:r>
      <w:r w:rsidR="00C5741B" w:rsidRPr="009449D8">
        <w:t xml:space="preserve"> OAA nutriti</w:t>
      </w:r>
      <w:r w:rsidR="00B86175" w:rsidRPr="009449D8">
        <w:t>on</w:t>
      </w:r>
      <w:r w:rsidRPr="009449D8">
        <w:t xml:space="preserve"> assistance</w:t>
      </w:r>
      <w:r w:rsidR="00B86175" w:rsidRPr="009449D8">
        <w:t xml:space="preserve"> program</w:t>
      </w:r>
      <w:r w:rsidRPr="009449D8">
        <w:t xml:space="preserve"> funds</w:t>
      </w:r>
      <w:r w:rsidR="00593051" w:rsidRPr="009449D8">
        <w:t xml:space="preserve">. </w:t>
      </w:r>
      <w:r w:rsidR="009449D8" w:rsidRPr="009449D8">
        <w:t xml:space="preserve"> For example, Ohio reported in 2016 that</w:t>
      </w:r>
      <w:r w:rsidR="002963C3">
        <w:t xml:space="preserve"> the OAA provided $46 million in</w:t>
      </w:r>
      <w:r w:rsidR="009449D8" w:rsidRPr="009449D8">
        <w:t xml:space="preserve"> federal funding annually</w:t>
      </w:r>
      <w:r w:rsidR="002963C3">
        <w:t xml:space="preserve"> </w:t>
      </w:r>
      <w:r w:rsidR="009449D8" w:rsidRPr="009449D8">
        <w:t xml:space="preserve">and that the state and its localities </w:t>
      </w:r>
      <w:r w:rsidR="009449D8">
        <w:t xml:space="preserve">added </w:t>
      </w:r>
      <w:r w:rsidR="009449D8" w:rsidRPr="009449D8">
        <w:rPr>
          <w:rFonts w:cs="ArialMT"/>
        </w:rPr>
        <w:t>an additional $71 million</w:t>
      </w:r>
      <w:r w:rsidR="009449D8">
        <w:rPr>
          <w:rFonts w:cs="ArialMT"/>
        </w:rPr>
        <w:t xml:space="preserve"> of</w:t>
      </w:r>
      <w:r w:rsidR="009449D8" w:rsidRPr="009449D8">
        <w:rPr>
          <w:rFonts w:cs="ArialMT"/>
        </w:rPr>
        <w:t xml:space="preserve"> their own funding</w:t>
      </w:r>
      <w:r w:rsidR="002963C3">
        <w:rPr>
          <w:rFonts w:cs="ArialMT"/>
        </w:rPr>
        <w:t xml:space="preserve"> to these</w:t>
      </w:r>
      <w:r w:rsidR="009449D8">
        <w:rPr>
          <w:rFonts w:cs="ArialMT"/>
        </w:rPr>
        <w:t xml:space="preserve"> program</w:t>
      </w:r>
      <w:r w:rsidR="002963C3">
        <w:rPr>
          <w:rFonts w:cs="ArialMT"/>
        </w:rPr>
        <w:t>s.</w:t>
      </w:r>
      <w:r w:rsidR="009449D8">
        <w:rPr>
          <w:rFonts w:cs="ArialMT"/>
        </w:rPr>
        <w:t xml:space="preserve"> </w:t>
      </w:r>
      <w:r w:rsidR="00E22864">
        <w:rPr>
          <w:rFonts w:cs="ArialMT"/>
        </w:rPr>
        <w:t>(</w:t>
      </w:r>
      <w:r w:rsidR="009449D8" w:rsidRPr="009449D8">
        <w:rPr>
          <w:rFonts w:cs="ArialMT"/>
        </w:rPr>
        <w:t>Ohio</w:t>
      </w:r>
      <w:r w:rsidR="009449D8">
        <w:rPr>
          <w:rFonts w:cs="ArialMT"/>
        </w:rPr>
        <w:t xml:space="preserve"> Department of Aging, 2016)</w:t>
      </w:r>
      <w:r w:rsidR="009449D8" w:rsidRPr="009449D8">
        <w:rPr>
          <w:rFonts w:cs="ArialMT"/>
        </w:rPr>
        <w:t>.</w:t>
      </w:r>
    </w:p>
    <w:p w:rsidR="000130F1" w:rsidRPr="009449D8" w:rsidRDefault="009449D8" w:rsidP="0082372F">
      <w:pPr>
        <w:pStyle w:val="ListParagraph"/>
        <w:numPr>
          <w:ilvl w:val="0"/>
          <w:numId w:val="7"/>
        </w:numPr>
        <w:autoSpaceDE w:val="0"/>
        <w:autoSpaceDN w:val="0"/>
        <w:adjustRightInd w:val="0"/>
        <w:spacing w:after="0" w:line="240" w:lineRule="auto"/>
      </w:pPr>
      <w:r w:rsidRPr="0082372F">
        <w:t>Forty-six states have</w:t>
      </w:r>
      <w:r w:rsidR="00EE608C" w:rsidRPr="0082372F">
        <w:t xml:space="preserve"> Medicaid HCBS waiver p</w:t>
      </w:r>
      <w:r w:rsidR="00425688" w:rsidRPr="0082372F">
        <w:t>rogr</w:t>
      </w:r>
      <w:r w:rsidR="00323675" w:rsidRPr="0082372F">
        <w:t>ams th</w:t>
      </w:r>
      <w:r w:rsidR="00082AE6" w:rsidRPr="0082372F">
        <w:t xml:space="preserve">at included nutrition </w:t>
      </w:r>
      <w:r w:rsidR="002C3912" w:rsidRPr="0082372F">
        <w:t xml:space="preserve">services </w:t>
      </w:r>
      <w:r w:rsidR="00082AE6" w:rsidRPr="0082372F">
        <w:t>(NASEM/HMD</w:t>
      </w:r>
      <w:r w:rsidR="00323675" w:rsidRPr="0082372F">
        <w:t>, 2015</w:t>
      </w:r>
      <w:r w:rsidR="00425688" w:rsidRPr="0082372F">
        <w:t>).</w:t>
      </w:r>
      <w:r w:rsidR="00EE608C" w:rsidRPr="0082372F">
        <w:t xml:space="preserve"> </w:t>
      </w:r>
      <w:r w:rsidR="0082372F" w:rsidRPr="0082372F">
        <w:t xml:space="preserve"> For example, South Dakota’s Department of Social Services provides </w:t>
      </w:r>
      <w:r w:rsidR="0082372F">
        <w:t>n</w:t>
      </w:r>
      <w:r w:rsidR="0082372F">
        <w:rPr>
          <w:rFonts w:cs="Arial"/>
          <w:color w:val="000000"/>
        </w:rPr>
        <w:t>utrition supplements and m</w:t>
      </w:r>
      <w:r w:rsidR="0082372F" w:rsidRPr="0082372F">
        <w:rPr>
          <w:rFonts w:cs="Arial"/>
          <w:color w:val="000000"/>
        </w:rPr>
        <w:t>eals</w:t>
      </w:r>
      <w:r w:rsidR="0082372F">
        <w:rPr>
          <w:rFonts w:cs="Arial"/>
          <w:color w:val="000000"/>
        </w:rPr>
        <w:t xml:space="preserve"> under its Medicaid HCBS waiver (South Dakota Department of Social Services, 2015).</w:t>
      </w:r>
    </w:p>
    <w:p w:rsidR="00CB0C07" w:rsidRPr="00153F47" w:rsidRDefault="00D61A1A" w:rsidP="00A11685">
      <w:pPr>
        <w:pStyle w:val="ListParagraph"/>
        <w:numPr>
          <w:ilvl w:val="0"/>
          <w:numId w:val="7"/>
        </w:numPr>
        <w:spacing w:line="240" w:lineRule="auto"/>
      </w:pPr>
      <w:r>
        <w:t>Health</w:t>
      </w:r>
      <w:r w:rsidR="00F97D05" w:rsidRPr="009449D8">
        <w:t xml:space="preserve"> plans</w:t>
      </w:r>
      <w:r w:rsidR="00CB0C07" w:rsidRPr="00153F47">
        <w:t>, includi</w:t>
      </w:r>
      <w:r>
        <w:t>ng those managing long-term services and supports, may</w:t>
      </w:r>
      <w:r w:rsidR="00933B7D" w:rsidRPr="00153F47">
        <w:t xml:space="preserve"> screen older enrollees for</w:t>
      </w:r>
      <w:r w:rsidR="00CB0C07" w:rsidRPr="00153F47">
        <w:t xml:space="preserve"> nutrition </w:t>
      </w:r>
      <w:r w:rsidR="00933B7D" w:rsidRPr="00153F47">
        <w:t xml:space="preserve">risks and </w:t>
      </w:r>
      <w:r w:rsidR="00CB0C07" w:rsidRPr="00153F47">
        <w:t>problems, assess people when risks are found and provide intervention</w:t>
      </w:r>
      <w:r w:rsidR="00323675">
        <w:t>s tailored to individual</w:t>
      </w:r>
      <w:r w:rsidR="00CB0C07" w:rsidRPr="00153F47">
        <w:t>s</w:t>
      </w:r>
      <w:r w:rsidR="00323675">
        <w:t>’</w:t>
      </w:r>
      <w:r w:rsidR="00CB0C07" w:rsidRPr="00153F47">
        <w:t xml:space="preserve"> needs. </w:t>
      </w:r>
      <w:r w:rsidR="00933B7D" w:rsidRPr="00153F47">
        <w:t xml:space="preserve"> </w:t>
      </w:r>
      <w:r>
        <w:t xml:space="preserve">For example, some ACOs </w:t>
      </w:r>
      <w:r w:rsidR="002612A9">
        <w:t>help</w:t>
      </w:r>
      <w:r>
        <w:t xml:space="preserve"> people</w:t>
      </w:r>
      <w:r w:rsidRPr="00D61A1A">
        <w:t xml:space="preserve"> access </w:t>
      </w:r>
      <w:r>
        <w:t>food assistance (Fraze et al., 2016)</w:t>
      </w:r>
      <w:r w:rsidRPr="00D61A1A">
        <w:t>.</w:t>
      </w:r>
      <w:r w:rsidR="002612A9">
        <w:t xml:space="preserve">  In another example, Florida requires its </w:t>
      </w:r>
      <w:r w:rsidR="002612A9" w:rsidRPr="002612A9">
        <w:t>Long-term Care  Managed Care Program</w:t>
      </w:r>
      <w:r w:rsidR="002612A9">
        <w:t xml:space="preserve"> plan</w:t>
      </w:r>
      <w:r w:rsidR="00A11685">
        <w:t>s to cover home-delivered meals and nutritional assessment and risk r</w:t>
      </w:r>
      <w:r w:rsidR="00A11685" w:rsidRPr="00A11685">
        <w:t>eduction</w:t>
      </w:r>
      <w:r w:rsidR="002612A9">
        <w:t xml:space="preserve"> </w:t>
      </w:r>
      <w:r w:rsidR="00A11685">
        <w:t>(Florida Agency for Health Care Administration, 2017).</w:t>
      </w:r>
    </w:p>
    <w:p w:rsidR="0008535C" w:rsidRPr="00E22864" w:rsidRDefault="00E22864" w:rsidP="003F2746">
      <w:pPr>
        <w:pStyle w:val="ListParagraph"/>
        <w:numPr>
          <w:ilvl w:val="0"/>
          <w:numId w:val="7"/>
        </w:numPr>
        <w:spacing w:line="240" w:lineRule="auto"/>
        <w:rPr>
          <w:rStyle w:val="Strong"/>
          <w:b w:val="0"/>
          <w:bCs w:val="0"/>
          <w:color w:val="auto"/>
        </w:rPr>
      </w:pPr>
      <w:r>
        <w:t>Hospitals, care transition, and other health care providers could conduct</w:t>
      </w:r>
      <w:r w:rsidR="00670DC4">
        <w:t xml:space="preserve"> </w:t>
      </w:r>
      <w:r w:rsidR="000F7C50" w:rsidRPr="00153F47">
        <w:t>malnutrition screening</w:t>
      </w:r>
      <w:r w:rsidR="00670DC4">
        <w:t>s, assessments</w:t>
      </w:r>
      <w:r w:rsidR="000F7C50" w:rsidRPr="00153F47">
        <w:t xml:space="preserve"> and intervention</w:t>
      </w:r>
      <w:r w:rsidR="00670DC4">
        <w:t xml:space="preserve">s </w:t>
      </w:r>
      <w:r>
        <w:t>as their professional organizations recommend</w:t>
      </w:r>
      <w:r w:rsidR="003D3275">
        <w:t>.</w:t>
      </w:r>
      <w:r>
        <w:rPr>
          <w:rStyle w:val="FootnoteReference"/>
        </w:rPr>
        <w:footnoteReference w:id="8"/>
      </w:r>
    </w:p>
    <w:p w:rsidR="00505D5E" w:rsidRPr="00153F47" w:rsidRDefault="00C21D5B" w:rsidP="00505D5E">
      <w:pPr>
        <w:spacing w:line="240" w:lineRule="auto"/>
      </w:pPr>
      <w:r w:rsidRPr="00153F47">
        <w:t>As this</w:t>
      </w:r>
      <w:r w:rsidR="00505D5E" w:rsidRPr="00153F47">
        <w:t xml:space="preserve"> list documents, </w:t>
      </w:r>
      <w:r w:rsidR="00E22864">
        <w:t>there are a</w:t>
      </w:r>
      <w:r w:rsidR="00985D40">
        <w:t xml:space="preserve"> number of opportunities for improving</w:t>
      </w:r>
      <w:r w:rsidR="00D9587D" w:rsidRPr="00153F47">
        <w:t xml:space="preserve"> nutrition for older adults, while helping them improve their health and</w:t>
      </w:r>
      <w:r w:rsidR="002C3912">
        <w:t xml:space="preserve"> well-being and </w:t>
      </w:r>
      <w:r w:rsidR="00F00BA2">
        <w:t xml:space="preserve">potentially </w:t>
      </w:r>
      <w:r w:rsidR="002C3912">
        <w:t>avoid</w:t>
      </w:r>
      <w:r w:rsidR="00D9587D" w:rsidRPr="00153F47">
        <w:t xml:space="preserve"> use of certain health services. </w:t>
      </w:r>
    </w:p>
    <w:p w:rsidR="00DB3F96" w:rsidRPr="00153F47" w:rsidRDefault="00DB3F96" w:rsidP="003F2746">
      <w:pPr>
        <w:spacing w:line="240" w:lineRule="auto"/>
      </w:pPr>
      <w:r w:rsidRPr="00153F47">
        <w:rPr>
          <w:b/>
        </w:rPr>
        <w:br w:type="page"/>
      </w:r>
    </w:p>
    <w:p w:rsidR="008440DD" w:rsidRPr="00BE5873" w:rsidRDefault="008440DD" w:rsidP="00BE5873">
      <w:pPr>
        <w:spacing w:line="240" w:lineRule="auto"/>
        <w:jc w:val="center"/>
        <w:rPr>
          <w:b/>
          <w:sz w:val="24"/>
          <w:szCs w:val="24"/>
        </w:rPr>
      </w:pPr>
      <w:r w:rsidRPr="00BE5873">
        <w:rPr>
          <w:b/>
          <w:sz w:val="24"/>
          <w:szCs w:val="24"/>
        </w:rPr>
        <w:lastRenderedPageBreak/>
        <w:t>References</w:t>
      </w:r>
    </w:p>
    <w:p w:rsidR="00DB34E8" w:rsidRPr="00153F47" w:rsidRDefault="00DB34E8" w:rsidP="00C15FEF">
      <w:pPr>
        <w:spacing w:line="240" w:lineRule="auto"/>
        <w:ind w:left="360"/>
      </w:pPr>
      <w:r w:rsidRPr="00153F47">
        <w:t xml:space="preserve">Agarwal E, Miller M, Yaxley A, Isenring E, “Malnutrition in the Elderly: a Narrative Review,” </w:t>
      </w:r>
      <w:r w:rsidRPr="00C15FEF">
        <w:rPr>
          <w:i/>
        </w:rPr>
        <w:t>Maturitas</w:t>
      </w:r>
      <w:r w:rsidRPr="00153F47">
        <w:t>, 2013, vol.76, pgs.296-302.</w:t>
      </w:r>
    </w:p>
    <w:p w:rsidR="001218AC" w:rsidRPr="00153F47" w:rsidRDefault="001218AC" w:rsidP="00C15FEF">
      <w:pPr>
        <w:spacing w:line="240" w:lineRule="auto"/>
        <w:ind w:left="360"/>
      </w:pPr>
      <w:r w:rsidRPr="00153F47">
        <w:t xml:space="preserve">Bauer J, Kaiser M, Sieber C, “Evaluation of </w:t>
      </w:r>
      <w:r w:rsidR="00BE4698">
        <w:t>Nutrition</w:t>
      </w:r>
      <w:r w:rsidRPr="00153F47">
        <w:t xml:space="preserve"> Status in Older Persons: </w:t>
      </w:r>
      <w:r w:rsidR="00BE4698">
        <w:t>Nutrition</w:t>
      </w:r>
      <w:r w:rsidRPr="00153F47">
        <w:t xml:space="preserve"> Screening and Assessment,” </w:t>
      </w:r>
      <w:r w:rsidRPr="00C15FEF">
        <w:rPr>
          <w:i/>
        </w:rPr>
        <w:t>Current Opinion in Clinical Nutrition and Metabolic Care</w:t>
      </w:r>
      <w:r w:rsidRPr="00153F47">
        <w:t xml:space="preserve">, 2010, vol.13, pgs.8-13. </w:t>
      </w:r>
    </w:p>
    <w:p w:rsidR="007E0825" w:rsidRPr="00153F47" w:rsidRDefault="007E0825" w:rsidP="00C15FEF">
      <w:pPr>
        <w:spacing w:line="240" w:lineRule="auto"/>
        <w:ind w:left="360"/>
      </w:pPr>
      <w:r w:rsidRPr="00153F47">
        <w:t>Buys D, Roth D, Richie C, Sawyer P, Allman R, Funkhouser E, Hovater M, Locher J, “</w:t>
      </w:r>
      <w:r w:rsidR="00BE4698">
        <w:t>Nutrition</w:t>
      </w:r>
      <w:r w:rsidRPr="00153F47">
        <w:t xml:space="preserve"> Risk and Body Mass Index Predict Hospitalization, Nursing Home Admissions, and Mortality in Community-dwelling Older Adults: Results from the UAB Study of Aging with 8.5 Years of Follow-up” </w:t>
      </w:r>
      <w:r w:rsidRPr="00C15FEF">
        <w:rPr>
          <w:i/>
        </w:rPr>
        <w:t>Journals of Gerontology A Biological Sciences Medical Sciences</w:t>
      </w:r>
      <w:r w:rsidRPr="00153F47">
        <w:t xml:space="preserve">, (2014) vol.69, no.9, pgs.1146-1153. </w:t>
      </w:r>
    </w:p>
    <w:p w:rsidR="00C867FC" w:rsidRPr="00153F47" w:rsidRDefault="00C867FC" w:rsidP="00C15FEF">
      <w:pPr>
        <w:spacing w:line="240" w:lineRule="auto"/>
        <w:ind w:left="360"/>
      </w:pPr>
      <w:r w:rsidRPr="00153F47">
        <w:t>Campbell A, Godfryd A, Buys D, Locher J, “Does Participation in Home-delivered Meals Programs Improve Outcomes for Older Adults? Results of a Systematic Review,” Journal of Nutrition in Gerontology and Geriatrics, 2015, vol.34, pgs.124-167.</w:t>
      </w:r>
    </w:p>
    <w:p w:rsidR="00AD413E" w:rsidRPr="00153F47" w:rsidRDefault="00AD413E" w:rsidP="00C15FEF">
      <w:pPr>
        <w:spacing w:line="240" w:lineRule="auto"/>
        <w:ind w:left="360"/>
      </w:pPr>
      <w:r w:rsidRPr="00153F47">
        <w:t xml:space="preserve">Cho J, Thorud J, Marishak-Simon S, Frawley L, Stevens A, “A Model Home-delivered Meals Program to Support Transitions from Hospital to Home,” </w:t>
      </w:r>
      <w:r w:rsidRPr="00C15FEF">
        <w:rPr>
          <w:i/>
        </w:rPr>
        <w:t>Journal of Nutrition in Gerontology and Geriatrics</w:t>
      </w:r>
      <w:r w:rsidRPr="00153F47">
        <w:t>, 2015,  vol.34, pgs.207-217.</w:t>
      </w:r>
    </w:p>
    <w:p w:rsidR="005362D3" w:rsidRPr="00153F47" w:rsidRDefault="005362D3" w:rsidP="00C15FEF">
      <w:pPr>
        <w:spacing w:line="240" w:lineRule="auto"/>
        <w:ind w:left="360"/>
      </w:pPr>
      <w:r w:rsidRPr="00153F47">
        <w:t xml:space="preserve">Colello K, </w:t>
      </w:r>
      <w:r w:rsidRPr="00C15FEF">
        <w:rPr>
          <w:i/>
        </w:rPr>
        <w:t>Older Americans Act: Title III Nutrition Services Program</w:t>
      </w:r>
      <w:r w:rsidRPr="00153F47">
        <w:t>, Congressional Research Service, 2014.</w:t>
      </w:r>
    </w:p>
    <w:p w:rsidR="003F15BE" w:rsidRPr="00153F47" w:rsidRDefault="003F15BE" w:rsidP="00C15FEF">
      <w:pPr>
        <w:spacing w:line="240" w:lineRule="auto"/>
        <w:ind w:left="360"/>
      </w:pPr>
      <w:r w:rsidRPr="00153F47">
        <w:t xml:space="preserve">Colello K, </w:t>
      </w:r>
      <w:r w:rsidRPr="00C15FEF">
        <w:rPr>
          <w:i/>
        </w:rPr>
        <w:t>Older Americans Act; Title III Nutrition Services Program, 2011</w:t>
      </w:r>
      <w:r w:rsidRPr="00153F47">
        <w:t xml:space="preserve">, Congressional Research Service. </w:t>
      </w:r>
    </w:p>
    <w:p w:rsidR="004559A7" w:rsidRPr="00153F47" w:rsidRDefault="004559A7" w:rsidP="00C15FEF">
      <w:pPr>
        <w:spacing w:line="240" w:lineRule="auto"/>
        <w:ind w:left="360"/>
      </w:pPr>
      <w:r w:rsidRPr="00153F47">
        <w:t xml:space="preserve">Corkins M, Guenter P, DiMaria-Ghalili, Jensen G, Malone A, Miller S, Patel V, Plogsted S, Resnick H, American Society for Parenteral and Enteral Nutrition, “Malnutrition Diagnosis in Hospitalized Patients: United States, 2010, </w:t>
      </w:r>
      <w:r w:rsidRPr="00C15FEF">
        <w:rPr>
          <w:i/>
        </w:rPr>
        <w:t>Journal of Parenteral and Enteral Nutrition</w:t>
      </w:r>
      <w:r w:rsidRPr="00153F47">
        <w:t>, 2014, vol.38, no.2, pgs.186-195.</w:t>
      </w:r>
    </w:p>
    <w:p w:rsidR="00E31BB8" w:rsidRPr="003E3388" w:rsidRDefault="00E31BB8" w:rsidP="00C15FEF">
      <w:pPr>
        <w:spacing w:line="240" w:lineRule="auto"/>
        <w:ind w:left="360"/>
      </w:pPr>
      <w:r w:rsidRPr="00C15FEF">
        <w:rPr>
          <w:rFonts w:cs="Adobe Garamond Pro"/>
          <w:color w:val="000000"/>
        </w:rPr>
        <w:t xml:space="preserve">Federal Interagency Forum on Aging-Related Statistics. </w:t>
      </w:r>
      <w:r w:rsidRPr="00C15FEF">
        <w:rPr>
          <w:rFonts w:cs="Adobe Garamond Pro"/>
          <w:i/>
          <w:iCs/>
          <w:color w:val="000000"/>
        </w:rPr>
        <w:t xml:space="preserve">Older Americans 2016: Key Indicators of Well-Being. </w:t>
      </w:r>
      <w:r w:rsidRPr="00C15FEF">
        <w:rPr>
          <w:rFonts w:cs="Adobe Garamond Pro"/>
          <w:color w:val="000000"/>
        </w:rPr>
        <w:t>Federal Interagency Forum on Aging-Related Statistics. Washington, DC August 2016.</w:t>
      </w:r>
    </w:p>
    <w:p w:rsidR="00A11685" w:rsidRPr="003E3388" w:rsidRDefault="00A11685" w:rsidP="00C15FEF">
      <w:pPr>
        <w:spacing w:line="240" w:lineRule="auto"/>
        <w:ind w:left="360"/>
      </w:pPr>
      <w:r w:rsidRPr="00C15FEF">
        <w:rPr>
          <w:rFonts w:cs="Adobe Garamond Pro"/>
          <w:color w:val="000000"/>
        </w:rPr>
        <w:t xml:space="preserve">Florida Agency for Health Care Administration, </w:t>
      </w:r>
      <w:r w:rsidRPr="00C15FEF">
        <w:rPr>
          <w:rFonts w:cs="Adobe Garamond Pro"/>
          <w:i/>
          <w:color w:val="000000"/>
        </w:rPr>
        <w:t>Statewide Medicaid Managed Care (SMMC) - Long-term Care Program</w:t>
      </w:r>
      <w:r w:rsidR="00630993">
        <w:rPr>
          <w:rFonts w:cs="Adobe Garamond Pro"/>
          <w:color w:val="000000"/>
        </w:rPr>
        <w:t>.  Accessed March, 2017</w:t>
      </w:r>
      <w:r w:rsidRPr="00C15FEF">
        <w:rPr>
          <w:rFonts w:cs="Adobe Garamond Pro"/>
          <w:color w:val="000000"/>
        </w:rPr>
        <w:t>.</w:t>
      </w:r>
    </w:p>
    <w:p w:rsidR="005C369E" w:rsidRPr="003E3388" w:rsidRDefault="005C369E" w:rsidP="00C15FEF">
      <w:pPr>
        <w:spacing w:line="240" w:lineRule="auto"/>
        <w:ind w:left="360"/>
      </w:pPr>
      <w:r w:rsidRPr="003E3388">
        <w:t xml:space="preserve">Fraze T, Lewis V, Rodriguez H, Fisher E, “Housing Transportation and Food: how ACOs seek to Improve Population Health by Addressing Nonmedical Needs of Patients,” </w:t>
      </w:r>
      <w:r w:rsidRPr="002665D6">
        <w:rPr>
          <w:i/>
        </w:rPr>
        <w:t>Health Affairs</w:t>
      </w:r>
      <w:r w:rsidRPr="003E3388">
        <w:t>, 2016, vol.35, no.11, pgs.2109-2115.</w:t>
      </w:r>
    </w:p>
    <w:p w:rsidR="002B796A" w:rsidRPr="00153F47" w:rsidRDefault="002B796A" w:rsidP="00C15FEF">
      <w:pPr>
        <w:spacing w:line="240" w:lineRule="auto"/>
        <w:ind w:left="360"/>
      </w:pPr>
      <w:r w:rsidRPr="00153F47">
        <w:t>Guenter P, Jensen G, Patel V, Miller S, Mogensen K, Malone A, a M, Hamilton C, DiMaria-Ghalili R, “Addressing Disease-related Malnutrition in Hospitalized Patients: a Call for a National Goal</w:t>
      </w:r>
      <w:r w:rsidRPr="00C15FEF">
        <w:rPr>
          <w:i/>
        </w:rPr>
        <w:t>,” The Joint Commission Journal on Quality and Patient Safety</w:t>
      </w:r>
      <w:r w:rsidRPr="00153F47">
        <w:t>, 2015, vol.41, no.10, pgs. 469-473.</w:t>
      </w:r>
    </w:p>
    <w:p w:rsidR="005008D4" w:rsidRPr="00153F47" w:rsidRDefault="005008D4" w:rsidP="00C15FEF">
      <w:pPr>
        <w:spacing w:line="240" w:lineRule="auto"/>
        <w:ind w:left="360"/>
      </w:pPr>
      <w:r w:rsidRPr="00153F47">
        <w:t xml:space="preserve">Jeejeebhoy K, “Malnutrition, Fatigue, Frailty, Vulnerability, Sarcopenia and Cachexia: Overlap of Clinical Features,” </w:t>
      </w:r>
      <w:r w:rsidRPr="00C15FEF">
        <w:rPr>
          <w:i/>
        </w:rPr>
        <w:t>Current Opinion in Clinical Nutrition and Metabolism Care</w:t>
      </w:r>
      <w:r w:rsidRPr="00153F47">
        <w:t>, 2012, vol.15, pgs.213-219.</w:t>
      </w:r>
    </w:p>
    <w:p w:rsidR="008808BA" w:rsidRPr="00153F47" w:rsidRDefault="008808BA" w:rsidP="00C15FEF">
      <w:pPr>
        <w:spacing w:line="240" w:lineRule="auto"/>
        <w:ind w:left="360"/>
      </w:pPr>
      <w:r w:rsidRPr="00153F47">
        <w:lastRenderedPageBreak/>
        <w:t xml:space="preserve">Kaiser M, Bauer J, Ramsch C, Uter W, Guigoz Y, Cederholm T, Thomas D, Anthony P, Charlton K, Maggio M, Tsai A, Vellas B, Sieber C, Frequency of Malnutrition in Older Adults: A Multinational Perspective Using the Mini </w:t>
      </w:r>
      <w:r w:rsidR="00BE4698">
        <w:t>Nutrition</w:t>
      </w:r>
      <w:r w:rsidRPr="00153F47">
        <w:t xml:space="preserve"> Assessment, </w:t>
      </w:r>
      <w:r w:rsidRPr="00C15FEF">
        <w:rPr>
          <w:i/>
        </w:rPr>
        <w:t>Journal of the American Geriatric Society</w:t>
      </w:r>
      <w:r w:rsidRPr="00153F47">
        <w:t xml:space="preserve">, 2010, vol.58, no.9, pgs. 1734-1738. </w:t>
      </w:r>
    </w:p>
    <w:p w:rsidR="002A5F37" w:rsidRPr="00153F47" w:rsidRDefault="002A5F37" w:rsidP="00C15FEF">
      <w:pPr>
        <w:spacing w:line="240" w:lineRule="auto"/>
        <w:ind w:left="360"/>
      </w:pPr>
      <w:r w:rsidRPr="00153F47">
        <w:t>Kowlessar N, Robinson K, Schur C, Older Americans Benefit from Older Americans Act Nutrition Programs, Research Brief number 6, Administration for Community Living,  September 2015.</w:t>
      </w:r>
    </w:p>
    <w:p w:rsidR="00C737E9" w:rsidRPr="00153F47" w:rsidRDefault="00662D12" w:rsidP="00C15FEF">
      <w:pPr>
        <w:spacing w:line="240" w:lineRule="auto"/>
        <w:ind w:left="360"/>
      </w:pPr>
      <w:r w:rsidRPr="00153F47">
        <w:t xml:space="preserve">Kretser A, Voss T, Kerr W, Cavadini C, Friedmann J, “Effects of Two Models of </w:t>
      </w:r>
      <w:r w:rsidR="00BE4698">
        <w:t>Nutrition</w:t>
      </w:r>
      <w:r w:rsidRPr="00153F47">
        <w:t xml:space="preserve"> Intervention on Homebound Older Adults at </w:t>
      </w:r>
      <w:r w:rsidR="00BE4698">
        <w:t>Nutrition</w:t>
      </w:r>
      <w:r w:rsidRPr="00153F47">
        <w:t xml:space="preserve"> Risk,” </w:t>
      </w:r>
      <w:r w:rsidRPr="00C15FEF">
        <w:rPr>
          <w:i/>
        </w:rPr>
        <w:t>Journal of the American Dietetic Association</w:t>
      </w:r>
      <w:r w:rsidRPr="00153F47">
        <w:t>, 2003, vol. 103, no.3, pgs.329-336.</w:t>
      </w:r>
    </w:p>
    <w:p w:rsidR="00BB58CD" w:rsidRPr="00153F47" w:rsidRDefault="00BB58CD" w:rsidP="00C15FEF">
      <w:pPr>
        <w:spacing w:line="240" w:lineRule="auto"/>
        <w:ind w:left="360"/>
      </w:pPr>
      <w:r w:rsidRPr="00153F47">
        <w:t xml:space="preserve">Lloyd J, Wellman N, “Older Americans Act Nutrition Programs: a Community-Based Nutrition Program Helping Older Adults Remain at Home,” Journal of Nutrition in Gerontology and Geriatrics, 2015, vol.34, pgs. 90-109.  </w:t>
      </w:r>
    </w:p>
    <w:p w:rsidR="0052688E" w:rsidRDefault="0052688E" w:rsidP="00C15FEF">
      <w:pPr>
        <w:spacing w:line="240" w:lineRule="auto"/>
        <w:ind w:left="360"/>
      </w:pPr>
      <w:r>
        <w:t>Luger E,</w:t>
      </w:r>
      <w:r w:rsidRPr="0052688E">
        <w:t xml:space="preserve"> </w:t>
      </w:r>
      <w:r>
        <w:t xml:space="preserve">Dorner T, Haider S, Kapan A, Lackinger C, Schindler K, “Effects of a Home-Based and Volunteer-Administered Physical Training, </w:t>
      </w:r>
      <w:r w:rsidR="00BE4698">
        <w:t>Nutrition</w:t>
      </w:r>
      <w:r>
        <w:t>, and Social Support Program on Malnutrition and Frailty in Older Persons: A Randomized Controlled Trial,” Journal of the American Medical Directors Association, 2016, vol. 17, no.7, pgs.671-679.</w:t>
      </w:r>
    </w:p>
    <w:p w:rsidR="00D073B1" w:rsidRPr="00153F47" w:rsidRDefault="00D073B1" w:rsidP="00C15FEF">
      <w:pPr>
        <w:spacing w:line="240" w:lineRule="auto"/>
        <w:ind w:left="360"/>
      </w:pPr>
      <w:r w:rsidRPr="00153F47">
        <w:t>Merck Manual, Consumer Version</w:t>
      </w:r>
      <w:r w:rsidR="00630993">
        <w:t xml:space="preserve">. </w:t>
      </w:r>
      <w:r w:rsidRPr="00153F47">
        <w:t>Accessed January 25, 2017.</w:t>
      </w:r>
    </w:p>
    <w:p w:rsidR="0037790B" w:rsidRPr="00153F47" w:rsidRDefault="0037790B" w:rsidP="00C15FEF">
      <w:pPr>
        <w:spacing w:line="240" w:lineRule="auto"/>
        <w:ind w:left="360"/>
      </w:pPr>
      <w:r w:rsidRPr="00153F47">
        <w:t xml:space="preserve">Mogensen K, DiMaria-Ghalili R, “Malnutrition Vigilance During Care Transitions,” </w:t>
      </w:r>
      <w:r w:rsidRPr="00C15FEF">
        <w:rPr>
          <w:i/>
        </w:rPr>
        <w:t>Today’s Geriatric Medicine</w:t>
      </w:r>
      <w:r w:rsidRPr="00153F47">
        <w:t>, 2015, vol.8, no.4, pgs.12-17.</w:t>
      </w:r>
    </w:p>
    <w:p w:rsidR="009B0F75" w:rsidRPr="00153F47" w:rsidRDefault="009B0F75" w:rsidP="00C15FEF">
      <w:pPr>
        <w:spacing w:line="240" w:lineRule="auto"/>
        <w:ind w:left="360"/>
      </w:pPr>
      <w:r w:rsidRPr="00C15FEF">
        <w:rPr>
          <w:rFonts w:cs="Sabon-Roman"/>
        </w:rPr>
        <w:t xml:space="preserve">NASEM (National Academies of Sciences, Engineering, and Medicine)/Health and Medicine Division (HMD), </w:t>
      </w:r>
      <w:r w:rsidR="00082AE6" w:rsidRPr="00C15FEF">
        <w:rPr>
          <w:rFonts w:cs="Sabon-Roman"/>
        </w:rPr>
        <w:t xml:space="preserve">Dietary Reference </w:t>
      </w:r>
      <w:r w:rsidR="00630993">
        <w:rPr>
          <w:rFonts w:cs="Sabon-Roman"/>
        </w:rPr>
        <w:t>Intakes Tables and Application.  Accessed January, 2017.</w:t>
      </w:r>
      <w:r w:rsidRPr="00C15FEF">
        <w:rPr>
          <w:rFonts w:cs="Sabon-Roman"/>
        </w:rPr>
        <w:t xml:space="preserve"> </w:t>
      </w:r>
    </w:p>
    <w:p w:rsidR="00D626A8" w:rsidRPr="00C15FEF" w:rsidRDefault="00D626A8" w:rsidP="00C15FEF">
      <w:pPr>
        <w:autoSpaceDE w:val="0"/>
        <w:autoSpaceDN w:val="0"/>
        <w:adjustRightInd w:val="0"/>
        <w:spacing w:after="0" w:line="240" w:lineRule="auto"/>
        <w:ind w:left="360"/>
        <w:rPr>
          <w:rFonts w:cs="Sabon-Roman"/>
        </w:rPr>
      </w:pPr>
      <w:r w:rsidRPr="00C15FEF">
        <w:rPr>
          <w:rFonts w:cs="Sabon-Roman"/>
        </w:rPr>
        <w:t>NASEM (National Academies of Sciences, Engineering, and Medicine)</w:t>
      </w:r>
      <w:r w:rsidR="003E5E31" w:rsidRPr="00C15FEF">
        <w:rPr>
          <w:rFonts w:cs="Sabon-Roman"/>
        </w:rPr>
        <w:t>/Health and Medicine Division (HMD),</w:t>
      </w:r>
      <w:r w:rsidRPr="00C15FEF">
        <w:rPr>
          <w:rFonts w:cs="Sabon-Roman"/>
        </w:rPr>
        <w:t xml:space="preserve"> </w:t>
      </w:r>
      <w:r w:rsidRPr="00C15FEF">
        <w:rPr>
          <w:rFonts w:cs="Sabon-Italic"/>
          <w:i/>
          <w:iCs/>
        </w:rPr>
        <w:t xml:space="preserve">Meeting the Dietary needs of Older Adults: Exploring the Impact of the Physical, Social, and Cultural Environment: Workshop summary, </w:t>
      </w:r>
      <w:r w:rsidRPr="00C15FEF">
        <w:rPr>
          <w:rFonts w:cs="Sabon-Italic"/>
          <w:iCs/>
        </w:rPr>
        <w:t xml:space="preserve">2016, </w:t>
      </w:r>
      <w:r w:rsidRPr="00C15FEF">
        <w:rPr>
          <w:rFonts w:cs="Sabon-Roman"/>
        </w:rPr>
        <w:t>The</w:t>
      </w:r>
      <w:r w:rsidRPr="00C15FEF">
        <w:rPr>
          <w:rFonts w:cs="Sabon-Italic"/>
          <w:i/>
          <w:iCs/>
        </w:rPr>
        <w:t xml:space="preserve"> </w:t>
      </w:r>
      <w:r w:rsidRPr="00C15FEF">
        <w:rPr>
          <w:rFonts w:cs="Sabon-Roman"/>
        </w:rPr>
        <w:t>National Academies Press.</w:t>
      </w:r>
    </w:p>
    <w:p w:rsidR="00612F3B" w:rsidRDefault="00612F3B" w:rsidP="00C15FEF">
      <w:pPr>
        <w:spacing w:line="240" w:lineRule="auto"/>
        <w:ind w:left="360"/>
      </w:pPr>
      <w:r w:rsidRPr="00153F47">
        <w:t xml:space="preserve">Nieuwenhuizen W, Weenen H, Rigby P, Hetherington M, “Older Adults and Patients in Need of </w:t>
      </w:r>
      <w:r w:rsidR="00BE4698">
        <w:t>Nutrition</w:t>
      </w:r>
      <w:r w:rsidRPr="00153F47">
        <w:t xml:space="preserve"> Support: Review of Current Treatment Options and Factors Influencing </w:t>
      </w:r>
      <w:r w:rsidR="00BE4698">
        <w:t>Nutrition</w:t>
      </w:r>
      <w:r w:rsidRPr="00153F47">
        <w:t xml:space="preserve"> Intake,” </w:t>
      </w:r>
      <w:r w:rsidRPr="00C15FEF">
        <w:rPr>
          <w:i/>
        </w:rPr>
        <w:t>Clinical Nutrition</w:t>
      </w:r>
      <w:r w:rsidRPr="00153F47">
        <w:t>, 2010, vol.29, no.2, pgs. 160-169.</w:t>
      </w:r>
    </w:p>
    <w:p w:rsidR="009449D8" w:rsidRPr="003E3388" w:rsidRDefault="009449D8" w:rsidP="00C15FEF">
      <w:pPr>
        <w:spacing w:line="240" w:lineRule="auto"/>
        <w:ind w:left="360"/>
      </w:pPr>
      <w:r w:rsidRPr="003E3388">
        <w:t xml:space="preserve">Ohio Department of Aging, </w:t>
      </w:r>
      <w:r w:rsidRPr="00C15FEF">
        <w:rPr>
          <w:i/>
        </w:rPr>
        <w:t>Program Profile Older Americans Act</w:t>
      </w:r>
      <w:r w:rsidRPr="003E3388">
        <w:t xml:space="preserve">, August, 2016. </w:t>
      </w:r>
      <w:r w:rsidR="00630993">
        <w:t xml:space="preserve"> Accessed January 2017.</w:t>
      </w:r>
    </w:p>
    <w:p w:rsidR="00FF3768" w:rsidRPr="00153F47" w:rsidRDefault="00FF3768" w:rsidP="00C15FEF">
      <w:pPr>
        <w:spacing w:line="240" w:lineRule="auto"/>
        <w:ind w:left="360"/>
      </w:pPr>
      <w:r w:rsidRPr="003E3388">
        <w:t>Older Americans Act, section</w:t>
      </w:r>
      <w:r w:rsidR="0049293E" w:rsidRPr="003E3388">
        <w:t>s 331, 336, 339</w:t>
      </w:r>
      <w:r w:rsidR="00630993">
        <w:t>.</w:t>
      </w:r>
      <w:r w:rsidR="0049293E" w:rsidRPr="003E3388">
        <w:t xml:space="preserve"> </w:t>
      </w:r>
    </w:p>
    <w:p w:rsidR="00457914" w:rsidRPr="00153F47" w:rsidRDefault="00457914" w:rsidP="00C15FEF">
      <w:pPr>
        <w:spacing w:line="240" w:lineRule="auto"/>
        <w:ind w:left="360"/>
      </w:pPr>
      <w:r w:rsidRPr="00153F47">
        <w:t xml:space="preserve">Pereira G, Bulik C, Weaver M, Holland W, Platts-Mills T, “Malnutrition among Cognitively Intact, Noncritically Ill Older Adults in the Emergency Department,” </w:t>
      </w:r>
      <w:r w:rsidRPr="00C15FEF">
        <w:rPr>
          <w:i/>
        </w:rPr>
        <w:t>Annals of Emergency Medicine</w:t>
      </w:r>
      <w:r w:rsidRPr="00153F47">
        <w:t>, 2015, vol.65, no.1, pgs. 85-91.</w:t>
      </w:r>
    </w:p>
    <w:p w:rsidR="000E654A" w:rsidRPr="00C15FEF" w:rsidRDefault="000E654A" w:rsidP="00C15FEF">
      <w:pPr>
        <w:autoSpaceDE w:val="0"/>
        <w:autoSpaceDN w:val="0"/>
        <w:adjustRightInd w:val="0"/>
        <w:spacing w:after="0" w:line="240" w:lineRule="auto"/>
        <w:ind w:left="360"/>
        <w:rPr>
          <w:rFonts w:cs="Times New Roman"/>
          <w:iCs/>
        </w:rPr>
      </w:pPr>
      <w:r w:rsidRPr="00C15FEF">
        <w:rPr>
          <w:rFonts w:cs="Times New Roman"/>
          <w:bCs/>
          <w:iCs/>
        </w:rPr>
        <w:t>Ponza M, Ohls J, Millen B, McCoolb A, Needels K, Rosenberg L, Chu D, Daly C, Quatromoni</w:t>
      </w:r>
      <w:r w:rsidRPr="00C15FEF">
        <w:rPr>
          <w:rFonts w:cs="Times New Roman"/>
          <w:iCs/>
        </w:rPr>
        <w:t xml:space="preserve"> P, </w:t>
      </w:r>
      <w:r w:rsidRPr="00C15FEF">
        <w:rPr>
          <w:rFonts w:cs="Times New Roman"/>
          <w:i/>
          <w:iCs/>
        </w:rPr>
        <w:t xml:space="preserve">Serving Elders at Risk The Older Americans Act Nutrition Programs: National Evaluation of the Elderly Nutrition Program 1993-1995 Volume II: Title VI Evaluation Findings, </w:t>
      </w:r>
      <w:r w:rsidRPr="00C15FEF">
        <w:rPr>
          <w:rFonts w:cs="Times New Roman"/>
          <w:iCs/>
        </w:rPr>
        <w:t>Mathematica Policy Research, 1996</w:t>
      </w:r>
      <w:r w:rsidR="0044077A" w:rsidRPr="00C15FEF">
        <w:rPr>
          <w:rFonts w:cs="Times New Roman"/>
          <w:iCs/>
        </w:rPr>
        <w:t>.</w:t>
      </w:r>
    </w:p>
    <w:p w:rsidR="00A8007F" w:rsidRPr="00C15FEF" w:rsidRDefault="00A8007F" w:rsidP="00C15FEF">
      <w:pPr>
        <w:autoSpaceDE w:val="0"/>
        <w:autoSpaceDN w:val="0"/>
        <w:adjustRightInd w:val="0"/>
        <w:spacing w:after="0" w:line="240" w:lineRule="auto"/>
        <w:ind w:left="360"/>
        <w:rPr>
          <w:rFonts w:cs="Times New Roman"/>
          <w:iCs/>
        </w:rPr>
      </w:pPr>
      <w:r w:rsidRPr="00C15FEF">
        <w:rPr>
          <w:rFonts w:cs="Times New Roman"/>
          <w:iCs/>
        </w:rPr>
        <w:lastRenderedPageBreak/>
        <w:t xml:space="preserve">Porter Starr K, McDonald S, Weidner J,  Bales C, “Challenges in the Management of Geriatric Obesity in High Risk Populations,” </w:t>
      </w:r>
      <w:r w:rsidRPr="00C15FEF">
        <w:rPr>
          <w:rFonts w:cs="Times New Roman"/>
          <w:i/>
          <w:iCs/>
        </w:rPr>
        <w:t>Nutrients</w:t>
      </w:r>
      <w:r w:rsidRPr="00C15FEF">
        <w:rPr>
          <w:rFonts w:cs="Times New Roman"/>
          <w:iCs/>
        </w:rPr>
        <w:t>, 2016, vol.8, no.5, pgs. 262-278. http://doi.org/10.3390/nu8050262</w:t>
      </w:r>
    </w:p>
    <w:p w:rsidR="00B942CC" w:rsidRPr="00153F47" w:rsidRDefault="00B942CC" w:rsidP="00C15FEF">
      <w:pPr>
        <w:spacing w:line="240" w:lineRule="auto"/>
        <w:ind w:left="360"/>
      </w:pPr>
      <w:r w:rsidRPr="00153F47">
        <w:t xml:space="preserve">Rasheed S, Woods R, “Malnutrition and Quality of Life in Older People: a Systematic Review and Meta-analysis, </w:t>
      </w:r>
      <w:r w:rsidRPr="00C15FEF">
        <w:rPr>
          <w:i/>
        </w:rPr>
        <w:t>Ageing Research Reviews</w:t>
      </w:r>
      <w:r w:rsidRPr="00153F47">
        <w:t>, Year?vol.12, no.2, pgs. 561-566.</w:t>
      </w:r>
    </w:p>
    <w:p w:rsidR="002A0556" w:rsidRPr="00C15FEF" w:rsidRDefault="002A0556" w:rsidP="00C15FEF">
      <w:pPr>
        <w:spacing w:line="240" w:lineRule="auto"/>
        <w:ind w:left="360"/>
        <w:rPr>
          <w:rStyle w:val="highwire-cite-pages3"/>
          <w:rFonts w:cs="Helvetica"/>
          <w:color w:val="030303"/>
          <w:sz w:val="22"/>
          <w:szCs w:val="22"/>
          <w:lang w:val="en"/>
        </w:rPr>
      </w:pPr>
      <w:r w:rsidRPr="00153F47">
        <w:t xml:space="preserve">Silver H, “Oral Strategies to Supplement Older Adults’ Dietary Intakes: Comparing the Evidence,” </w:t>
      </w:r>
      <w:r w:rsidRPr="00C15FEF">
        <w:rPr>
          <w:i/>
        </w:rPr>
        <w:t>Nutrition Reviews</w:t>
      </w:r>
      <w:r w:rsidRPr="00153F47">
        <w:t>, 2009, vol.67, no.1, pgs.</w:t>
      </w:r>
      <w:r w:rsidRPr="00C15FEF">
        <w:rPr>
          <w:rStyle w:val="highwire-cite-jnl-info2"/>
          <w:rFonts w:cs="Helvetica"/>
          <w:color w:val="030303"/>
          <w:sz w:val="22"/>
          <w:szCs w:val="22"/>
          <w:lang w:val="en"/>
        </w:rPr>
        <w:t xml:space="preserve"> </w:t>
      </w:r>
      <w:r w:rsidRPr="00C15FEF">
        <w:rPr>
          <w:rStyle w:val="highwire-cite-pages3"/>
          <w:rFonts w:cs="Helvetica"/>
          <w:color w:val="030303"/>
          <w:sz w:val="22"/>
          <w:szCs w:val="22"/>
          <w:lang w:val="en"/>
        </w:rPr>
        <w:t>21-31.</w:t>
      </w:r>
    </w:p>
    <w:p w:rsidR="003A5F26" w:rsidRPr="003E3388" w:rsidRDefault="003A5F26" w:rsidP="00C15FEF">
      <w:pPr>
        <w:spacing w:line="240" w:lineRule="auto"/>
        <w:ind w:left="360"/>
      </w:pPr>
      <w:r w:rsidRPr="00153F47">
        <w:t xml:space="preserve">Soenen S, Chapman I, “Body Weight, Anorexia, and Undernutrition in Older People,” </w:t>
      </w:r>
      <w:r w:rsidRPr="00C15FEF">
        <w:rPr>
          <w:i/>
        </w:rPr>
        <w:t>Journal of the American Medical Association</w:t>
      </w:r>
      <w:r w:rsidRPr="003E3388">
        <w:t>, 2013, vol.14, pgs.642-648.</w:t>
      </w:r>
    </w:p>
    <w:p w:rsidR="00290DFB" w:rsidRPr="00C15FEF" w:rsidRDefault="00290DFB" w:rsidP="00C15FEF">
      <w:pPr>
        <w:spacing w:line="240" w:lineRule="auto"/>
        <w:ind w:left="360"/>
        <w:rPr>
          <w:rStyle w:val="highwire-cite-pages3"/>
          <w:rFonts w:cs="Arial"/>
          <w:color w:val="000000"/>
          <w:sz w:val="22"/>
          <w:szCs w:val="22"/>
          <w:bdr w:val="none" w:sz="0" w:space="0" w:color="auto"/>
        </w:rPr>
      </w:pPr>
      <w:r w:rsidRPr="00C15FEF">
        <w:rPr>
          <w:rFonts w:cs="Arial"/>
          <w:color w:val="000000"/>
        </w:rPr>
        <w:t xml:space="preserve">South Dakota Department of Social Services, </w:t>
      </w:r>
      <w:r w:rsidRPr="00C15FEF">
        <w:rPr>
          <w:rFonts w:cs="Arial"/>
          <w:i/>
          <w:color w:val="000000"/>
        </w:rPr>
        <w:t>Adult Services and Aging’s Programs &amp; Services</w:t>
      </w:r>
      <w:r w:rsidRPr="00C15FEF">
        <w:rPr>
          <w:rFonts w:cs="Arial"/>
          <w:color w:val="000000"/>
        </w:rPr>
        <w:t>, May 29, 2015. Available at:</w:t>
      </w:r>
      <w:r w:rsidRPr="00C15FEF">
        <w:rPr>
          <w:rFonts w:ascii="Arial" w:hAnsi="Arial" w:cs="Arial"/>
          <w:color w:val="222222"/>
          <w:sz w:val="27"/>
          <w:szCs w:val="27"/>
          <w:lang w:val="en"/>
        </w:rPr>
        <w:t xml:space="preserve"> </w:t>
      </w:r>
      <w:hyperlink r:id="rId9" w:history="1">
        <w:r w:rsidRPr="00C15FEF">
          <w:rPr>
            <w:rStyle w:val="Hyperlink"/>
            <w:rFonts w:cs="Arial"/>
            <w:lang w:val="en"/>
          </w:rPr>
          <w:t>Adult Services and Aging's Programs and Services - South Dakota ...</w:t>
        </w:r>
      </w:hyperlink>
      <w:r w:rsidRPr="00C15FEF">
        <w:rPr>
          <w:rFonts w:cs="Arial"/>
          <w:color w:val="000000"/>
        </w:rPr>
        <w:t xml:space="preserve"> </w:t>
      </w:r>
    </w:p>
    <w:p w:rsidR="007C70A1" w:rsidRPr="00C15FEF" w:rsidRDefault="007C70A1" w:rsidP="00C15FEF">
      <w:pPr>
        <w:spacing w:line="240" w:lineRule="auto"/>
        <w:ind w:left="360"/>
        <w:rPr>
          <w:rFonts w:cs="Times New Roman"/>
        </w:rPr>
      </w:pPr>
      <w:r w:rsidRPr="00153F47">
        <w:t xml:space="preserve">Tappenden K, Quatrara B, Parkhurst M, Malone A, Fanjian G, Ziegler T, “Critical Role of Nutrition in Improving Quality of Care: an Interdisciplinary Call to Action to Address Adult Hospital Malnutrition,” </w:t>
      </w:r>
      <w:r w:rsidRPr="00C15FEF">
        <w:rPr>
          <w:i/>
        </w:rPr>
        <w:t>Journal of the Academy of Nutrition and Dietetics</w:t>
      </w:r>
      <w:r w:rsidRPr="00153F47">
        <w:t>, 201</w:t>
      </w:r>
      <w:r w:rsidR="008D5CC5" w:rsidRPr="00153F47">
        <w:t>3, vol.113, no.9, pgs.1219-1237</w:t>
      </w:r>
    </w:p>
    <w:p w:rsidR="00D33760" w:rsidRPr="00C15FEF" w:rsidRDefault="00FC2EDD" w:rsidP="00C15FEF">
      <w:pPr>
        <w:autoSpaceDE w:val="0"/>
        <w:autoSpaceDN w:val="0"/>
        <w:adjustRightInd w:val="0"/>
        <w:spacing w:after="0" w:line="240" w:lineRule="auto"/>
        <w:ind w:left="360"/>
        <w:rPr>
          <w:rFonts w:cs="Times New Roman"/>
        </w:rPr>
      </w:pPr>
      <w:r w:rsidRPr="00C15FEF">
        <w:rPr>
          <w:rFonts w:cs="Times New Roman"/>
        </w:rPr>
        <w:t xml:space="preserve">Thomas K, Mor V, “Providing More Home-delivered Meals is One Way to Keep Older Adults with Low Care Needs Out of Nursing Homes,” </w:t>
      </w:r>
      <w:r w:rsidRPr="00C15FEF">
        <w:rPr>
          <w:rFonts w:cs="Times New Roman"/>
          <w:i/>
        </w:rPr>
        <w:t>Health Affairs</w:t>
      </w:r>
      <w:r w:rsidRPr="00C15FEF">
        <w:rPr>
          <w:rFonts w:cs="Times New Roman"/>
        </w:rPr>
        <w:t xml:space="preserve">, 2013, vol.32, no.10, pgs. 1796-1802. </w:t>
      </w:r>
    </w:p>
    <w:p w:rsidR="00835101" w:rsidRPr="00153F47" w:rsidRDefault="00835101" w:rsidP="00C15FEF">
      <w:pPr>
        <w:spacing w:line="240" w:lineRule="auto"/>
        <w:ind w:left="360"/>
      </w:pPr>
      <w:r w:rsidRPr="00153F47">
        <w:t xml:space="preserve">U.S. Department of Health and Human Services (USDHHS)/Administration for Community Living (ACL), Fiscal Year 2017 Justification of Estimates for Appropriations Committee. </w:t>
      </w:r>
    </w:p>
    <w:p w:rsidR="00835101" w:rsidRPr="00153F47" w:rsidRDefault="00835101" w:rsidP="00C15FEF">
      <w:pPr>
        <w:spacing w:line="240" w:lineRule="auto"/>
        <w:ind w:left="360"/>
      </w:pPr>
      <w:r w:rsidRPr="00153F47">
        <w:t xml:space="preserve">U.S. Department of Health and Human Services (USDHHS) and U.S. Department of Agriculture (USDA). </w:t>
      </w:r>
      <w:r w:rsidRPr="00C15FEF">
        <w:rPr>
          <w:i/>
          <w:iCs/>
        </w:rPr>
        <w:t>2015–2020 Dietary Guidelines for Americans</w:t>
      </w:r>
      <w:r w:rsidRPr="00153F47">
        <w:t>. 8th Edition. December 2015. Available at http://health.gov/dietaryguidelines/2015/guidelines/.</w:t>
      </w:r>
    </w:p>
    <w:p w:rsidR="00017F73" w:rsidRPr="00153F47" w:rsidRDefault="00017F73" w:rsidP="00C15FEF">
      <w:pPr>
        <w:spacing w:line="240" w:lineRule="auto"/>
        <w:ind w:left="360"/>
      </w:pPr>
      <w:r w:rsidRPr="00153F47">
        <w:t>Vaudin A, Sahyoun N, “Food Anxiety is Associated with Poor Health Status among Recently Hospital-discharged Older Adults,” Journal of Nutrition in Gerontology and Geriatrics, 2015, vol.34, pgs.245-262.</w:t>
      </w:r>
    </w:p>
    <w:p w:rsidR="00FE1402" w:rsidRPr="00153F47" w:rsidRDefault="00FE1402" w:rsidP="00C15FEF">
      <w:pPr>
        <w:spacing w:line="240" w:lineRule="auto"/>
        <w:ind w:left="360"/>
      </w:pPr>
      <w:r w:rsidRPr="00153F47">
        <w:t xml:space="preserve">Visvanathan R., Chapter 14, </w:t>
      </w:r>
      <w:r w:rsidRPr="00C15FEF">
        <w:rPr>
          <w:i/>
        </w:rPr>
        <w:t>Malnutrition in Older People</w:t>
      </w:r>
      <w:r w:rsidRPr="00153F47">
        <w:t xml:space="preserve"> in Caplan G. editor, </w:t>
      </w:r>
      <w:r w:rsidRPr="00C15FEF">
        <w:rPr>
          <w:i/>
        </w:rPr>
        <w:t>Geriatric Medicine an Introduction</w:t>
      </w:r>
      <w:r w:rsidRPr="00153F47">
        <w:t xml:space="preserve">, IP Communications, Melbourne 2014.  </w:t>
      </w:r>
    </w:p>
    <w:p w:rsidR="00C66636" w:rsidRDefault="00C66636" w:rsidP="00C15FEF">
      <w:pPr>
        <w:spacing w:line="240" w:lineRule="auto"/>
        <w:ind w:left="360"/>
      </w:pPr>
      <w:r w:rsidRPr="00153F47">
        <w:t xml:space="preserve">Weiss A, Fingar K, Barrett M, Elixhauser A, Steiner C, Guenter P, Hise Brawn M, </w:t>
      </w:r>
      <w:r w:rsidRPr="00C15FEF">
        <w:rPr>
          <w:i/>
        </w:rPr>
        <w:t>Characteristics of Hospital Stays Involving Malnutrition, 2013</w:t>
      </w:r>
      <w:r w:rsidRPr="00153F47">
        <w:t>, Statistical Brief #210,  Agency for Healthcare Research and Quality, 2016.</w:t>
      </w:r>
    </w:p>
    <w:p w:rsidR="003C5304" w:rsidRPr="00153F47" w:rsidRDefault="003C5304" w:rsidP="00C15FEF">
      <w:pPr>
        <w:spacing w:line="240" w:lineRule="auto"/>
        <w:ind w:left="360"/>
      </w:pPr>
      <w:r>
        <w:t>Xu H, Weiner M, Paul S, Thomas J, Craig B, Rosenman M, “Volume of Home and Community-based Medicaid Waiver Services and Risk of Hospital Admissions,” Journal of the American Geriatric Society, 2010, vol.58, no.1, pgs.109-15.</w:t>
      </w:r>
    </w:p>
    <w:p w:rsidR="00D141A9" w:rsidRPr="00153F47" w:rsidRDefault="00D141A9" w:rsidP="00C15FEF">
      <w:pPr>
        <w:spacing w:line="240" w:lineRule="auto"/>
        <w:ind w:left="360"/>
      </w:pPr>
      <w:r w:rsidRPr="00153F47">
        <w:t xml:space="preserve">Yang Y, Brown C, Burgio K, Kilgore M, Ritchie C, Roth D, Smith West d, Locher J, “Undernutrition at Baseline and Health Services Utilization and Mortality over a 1-year Period in Older Adults Receiving Medicare Home Health Services,” </w:t>
      </w:r>
      <w:r w:rsidRPr="00C15FEF">
        <w:rPr>
          <w:i/>
        </w:rPr>
        <w:t>Journal of the American Medical Directors Association</w:t>
      </w:r>
      <w:r w:rsidRPr="00153F47">
        <w:t>, May 2011, pgs.287-294.</w:t>
      </w:r>
    </w:p>
    <w:p w:rsidR="00552101" w:rsidRPr="00153F47" w:rsidRDefault="00552101" w:rsidP="00C15FEF">
      <w:pPr>
        <w:spacing w:line="240" w:lineRule="auto"/>
        <w:ind w:left="360"/>
      </w:pPr>
      <w:r w:rsidRPr="00153F47">
        <w:t xml:space="preserve">Zhu H, An R, “Impact of Home-delivered Meal Programs on Diet and Nutrition among Older Adults: a Review,” </w:t>
      </w:r>
      <w:r w:rsidRPr="00C15FEF">
        <w:rPr>
          <w:i/>
        </w:rPr>
        <w:t>Nutrition and Health</w:t>
      </w:r>
      <w:r w:rsidRPr="00153F47">
        <w:t>, 2014, pgs.1-15.</w:t>
      </w:r>
    </w:p>
    <w:sectPr w:rsidR="00552101" w:rsidRPr="00153F4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56" w:rsidRDefault="009F0356" w:rsidP="000503AB">
      <w:pPr>
        <w:spacing w:after="0" w:line="240" w:lineRule="auto"/>
      </w:pPr>
      <w:r>
        <w:separator/>
      </w:r>
    </w:p>
  </w:endnote>
  <w:endnote w:type="continuationSeparator" w:id="0">
    <w:p w:rsidR="009F0356" w:rsidRDefault="009F0356" w:rsidP="000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88596"/>
      <w:docPartObj>
        <w:docPartGallery w:val="Page Numbers (Bottom of Page)"/>
        <w:docPartUnique/>
      </w:docPartObj>
    </w:sdtPr>
    <w:sdtEndPr>
      <w:rPr>
        <w:noProof/>
      </w:rPr>
    </w:sdtEndPr>
    <w:sdtContent>
      <w:p w:rsidR="004C5483" w:rsidRDefault="004C5483">
        <w:pPr>
          <w:pStyle w:val="Footer"/>
          <w:jc w:val="right"/>
        </w:pPr>
        <w:r>
          <w:fldChar w:fldCharType="begin"/>
        </w:r>
        <w:r>
          <w:instrText xml:space="preserve"> PAGE   \* MERGEFORMAT </w:instrText>
        </w:r>
        <w:r>
          <w:fldChar w:fldCharType="separate"/>
        </w:r>
        <w:r w:rsidR="006412CA">
          <w:rPr>
            <w:noProof/>
          </w:rPr>
          <w:t>13</w:t>
        </w:r>
        <w:r>
          <w:rPr>
            <w:noProof/>
          </w:rPr>
          <w:fldChar w:fldCharType="end"/>
        </w:r>
      </w:p>
    </w:sdtContent>
  </w:sdt>
  <w:p w:rsidR="004C5483" w:rsidRDefault="004C5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56" w:rsidRDefault="009F0356" w:rsidP="000503AB">
      <w:pPr>
        <w:spacing w:after="0" w:line="240" w:lineRule="auto"/>
      </w:pPr>
      <w:r>
        <w:separator/>
      </w:r>
    </w:p>
  </w:footnote>
  <w:footnote w:type="continuationSeparator" w:id="0">
    <w:p w:rsidR="009F0356" w:rsidRDefault="009F0356" w:rsidP="000503AB">
      <w:pPr>
        <w:spacing w:after="0" w:line="240" w:lineRule="auto"/>
      </w:pPr>
      <w:r>
        <w:continuationSeparator/>
      </w:r>
    </w:p>
  </w:footnote>
  <w:footnote w:id="1">
    <w:p w:rsidR="004C5483" w:rsidRDefault="004C5483">
      <w:pPr>
        <w:pStyle w:val="FootnoteText"/>
      </w:pPr>
      <w:r>
        <w:rPr>
          <w:rStyle w:val="FootnoteReference"/>
        </w:rPr>
        <w:footnoteRef/>
      </w:r>
      <w:r>
        <w:t xml:space="preserve"> Malabsorption occurs when the small intestine does not properly absorb </w:t>
      </w:r>
      <w:r w:rsidRPr="00F30352">
        <w:t>nutrients from food</w:t>
      </w:r>
      <w:r>
        <w:t>.  A number of conditions can cause this.</w:t>
      </w:r>
    </w:p>
  </w:footnote>
  <w:footnote w:id="2">
    <w:p w:rsidR="004C5483" w:rsidRPr="00611F5E" w:rsidRDefault="004C5483">
      <w:pPr>
        <w:pStyle w:val="FootnoteText"/>
      </w:pPr>
      <w:r>
        <w:rPr>
          <w:rStyle w:val="FootnoteReference"/>
        </w:rPr>
        <w:footnoteRef/>
      </w:r>
      <w:r>
        <w:t xml:space="preserve"> For more information, please see Tilly J, </w:t>
      </w:r>
      <w:r w:rsidRPr="00611F5E">
        <w:rPr>
          <w:i/>
        </w:rPr>
        <w:t>Oral Health’s Relationship to Disease and Options for Expanding Services for Older Adults and Adults who Have Disabilities</w:t>
      </w:r>
      <w:r>
        <w:t>, ACL, 2016</w:t>
      </w:r>
      <w:r w:rsidR="00CE54E0">
        <w:t>.</w:t>
      </w:r>
    </w:p>
  </w:footnote>
  <w:footnote w:id="3">
    <w:p w:rsidR="004C5483" w:rsidRPr="003D3D32" w:rsidRDefault="004C5483" w:rsidP="003D3D32">
      <w:pPr>
        <w:pStyle w:val="FootnoteText"/>
        <w:rPr>
          <w:lang w:val="en"/>
        </w:rPr>
      </w:pPr>
      <w:r>
        <w:rPr>
          <w:rStyle w:val="FootnoteReference"/>
        </w:rPr>
        <w:footnoteRef/>
      </w:r>
      <w:r>
        <w:t xml:space="preserve"> This is </w:t>
      </w:r>
      <w:r>
        <w:rPr>
          <w:lang w:val="en"/>
        </w:rPr>
        <w:t xml:space="preserve">an </w:t>
      </w:r>
      <w:r w:rsidRPr="003D3D32">
        <w:rPr>
          <w:lang w:val="en"/>
        </w:rPr>
        <w:t>area</w:t>
      </w:r>
      <w:r>
        <w:rPr>
          <w:lang w:val="en"/>
        </w:rPr>
        <w:t xml:space="preserve"> where</w:t>
      </w:r>
      <w:r w:rsidRPr="003D3D32">
        <w:rPr>
          <w:lang w:val="en"/>
        </w:rPr>
        <w:t xml:space="preserve"> it is difficult to buy affordable or good-quality fresh food</w:t>
      </w:r>
      <w:r>
        <w:rPr>
          <w:lang w:val="en"/>
        </w:rPr>
        <w:t>.</w:t>
      </w:r>
    </w:p>
    <w:p w:rsidR="004C5483" w:rsidRDefault="004C5483">
      <w:pPr>
        <w:pStyle w:val="FootnoteText"/>
      </w:pPr>
    </w:p>
  </w:footnote>
  <w:footnote w:id="4">
    <w:p w:rsidR="004C5483" w:rsidRDefault="004C5483">
      <w:pPr>
        <w:pStyle w:val="FootnoteText"/>
      </w:pPr>
      <w:r>
        <w:rPr>
          <w:rStyle w:val="FootnoteReference"/>
        </w:rPr>
        <w:footnoteRef/>
      </w:r>
      <w:r w:rsidR="00E01D1E">
        <w:t xml:space="preserve"> Discussed later in this issue</w:t>
      </w:r>
      <w:r>
        <w:t xml:space="preserve"> brief.</w:t>
      </w:r>
    </w:p>
  </w:footnote>
  <w:footnote w:id="5">
    <w:p w:rsidR="00023FBB" w:rsidRDefault="00023FBB">
      <w:pPr>
        <w:pStyle w:val="FootnoteText"/>
      </w:pPr>
      <w:r>
        <w:rPr>
          <w:rStyle w:val="FootnoteReference"/>
        </w:rPr>
        <w:footnoteRef/>
      </w:r>
      <w:r>
        <w:t xml:space="preserve"> F</w:t>
      </w:r>
      <w:r w:rsidRPr="00153F47">
        <w:t>ood insecurity</w:t>
      </w:r>
      <w:r>
        <w:t xml:space="preserve"> is</w:t>
      </w:r>
      <w:r w:rsidRPr="00153F47">
        <w:t xml:space="preserve"> uncertain access to adequate fo</w:t>
      </w:r>
      <w:r>
        <w:t>od.</w:t>
      </w:r>
    </w:p>
  </w:footnote>
  <w:footnote w:id="6">
    <w:p w:rsidR="004C5483" w:rsidRDefault="004C5483">
      <w:pPr>
        <w:pStyle w:val="FootnoteText"/>
      </w:pPr>
      <w:r>
        <w:rPr>
          <w:rStyle w:val="FootnoteReference"/>
        </w:rPr>
        <w:footnoteRef/>
      </w:r>
      <w:r>
        <w:t xml:space="preserve"> Data drawn from</w:t>
      </w:r>
      <w:r w:rsidR="00630993">
        <w:t xml:space="preserve"> ACL’s </w:t>
      </w:r>
      <w:r w:rsidR="00630993" w:rsidRPr="00630993">
        <w:rPr>
          <w:i/>
        </w:rPr>
        <w:t>Aging IntegratedDatabase</w:t>
      </w:r>
      <w:r w:rsidR="00630993">
        <w:t>.</w:t>
      </w:r>
      <w:r>
        <w:t xml:space="preserve"> </w:t>
      </w:r>
    </w:p>
  </w:footnote>
  <w:footnote w:id="7">
    <w:p w:rsidR="00594C51" w:rsidRDefault="00594C51">
      <w:pPr>
        <w:pStyle w:val="FootnoteText"/>
      </w:pPr>
      <w:r w:rsidRPr="009006B4">
        <w:rPr>
          <w:rStyle w:val="FootnoteReference"/>
        </w:rPr>
        <w:footnoteRef/>
      </w:r>
      <w:r w:rsidRPr="009006B4">
        <w:t xml:space="preserve"> </w:t>
      </w:r>
      <w:r w:rsidRPr="009006B4">
        <w:rPr>
          <w:rFonts w:cs="Arial"/>
          <w:color w:val="000000"/>
          <w:lang w:val="en"/>
        </w:rPr>
        <w:t>The Joint Commission is a non-profit organization that accredits and certifies nearly 21,000 health care organizations and programs in the United States</w:t>
      </w:r>
      <w:r>
        <w:rPr>
          <w:rFonts w:ascii="Arial" w:hAnsi="Arial" w:cs="Arial"/>
          <w:color w:val="000000"/>
          <w:lang w:val="en"/>
        </w:rPr>
        <w:t>.</w:t>
      </w:r>
    </w:p>
  </w:footnote>
  <w:footnote w:id="8">
    <w:p w:rsidR="00E22864" w:rsidRDefault="00E22864">
      <w:pPr>
        <w:pStyle w:val="FootnoteText"/>
      </w:pPr>
      <w:r>
        <w:rPr>
          <w:rStyle w:val="FootnoteReference"/>
        </w:rPr>
        <w:footnoteRef/>
      </w:r>
      <w:r w:rsidR="009A1159">
        <w:t xml:space="preserve"> As described in Section 5.b</w:t>
      </w:r>
      <w:r>
        <w:t xml:space="preserve"> of this issue brief.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5426F6"/>
    <w:multiLevelType w:val="hybridMultilevel"/>
    <w:tmpl w:val="B06DF7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00462"/>
    <w:multiLevelType w:val="hybridMultilevel"/>
    <w:tmpl w:val="BBF05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7F1CF5"/>
    <w:multiLevelType w:val="hybridMultilevel"/>
    <w:tmpl w:val="3244A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C72E6"/>
    <w:multiLevelType w:val="multilevel"/>
    <w:tmpl w:val="800EF8D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FFB29A4"/>
    <w:multiLevelType w:val="multilevel"/>
    <w:tmpl w:val="5902019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22930DF"/>
    <w:multiLevelType w:val="multilevel"/>
    <w:tmpl w:val="2BF6C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3356B80"/>
    <w:multiLevelType w:val="hybridMultilevel"/>
    <w:tmpl w:val="BCE4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C0426"/>
    <w:multiLevelType w:val="hybridMultilevel"/>
    <w:tmpl w:val="3D069510"/>
    <w:lvl w:ilvl="0" w:tplc="CA5CDC48">
      <w:start w:val="1"/>
      <w:numFmt w:val="decimal"/>
      <w:lvlText w:val="%1."/>
      <w:lvlJc w:val="left"/>
      <w:pPr>
        <w:ind w:left="720" w:hanging="360"/>
      </w:pPr>
      <w:rPr>
        <w:rFonts w:ascii="Calibri" w:hAnsi="Calibr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544D1"/>
    <w:multiLevelType w:val="hybridMultilevel"/>
    <w:tmpl w:val="371C6C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3E26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E659A0"/>
    <w:multiLevelType w:val="hybridMultilevel"/>
    <w:tmpl w:val="C896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02433"/>
    <w:multiLevelType w:val="hybridMultilevel"/>
    <w:tmpl w:val="4A82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82E5B"/>
    <w:multiLevelType w:val="hybridMultilevel"/>
    <w:tmpl w:val="782A5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A6E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034509"/>
    <w:multiLevelType w:val="multilevel"/>
    <w:tmpl w:val="6856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C72841"/>
    <w:multiLevelType w:val="multilevel"/>
    <w:tmpl w:val="B7EA428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96F73"/>
    <w:multiLevelType w:val="hybridMultilevel"/>
    <w:tmpl w:val="EFA2A79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E2CB9"/>
    <w:multiLevelType w:val="hybridMultilevel"/>
    <w:tmpl w:val="D766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C56E18"/>
    <w:multiLevelType w:val="hybridMultilevel"/>
    <w:tmpl w:val="CAA6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21B35"/>
    <w:multiLevelType w:val="multilevel"/>
    <w:tmpl w:val="782A56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EC454A1"/>
    <w:multiLevelType w:val="hybridMultilevel"/>
    <w:tmpl w:val="F9F4C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8B64DD"/>
    <w:multiLevelType w:val="hybridMultilevel"/>
    <w:tmpl w:val="98A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C20B2"/>
    <w:multiLevelType w:val="hybridMultilevel"/>
    <w:tmpl w:val="F37E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63B32"/>
    <w:multiLevelType w:val="multilevel"/>
    <w:tmpl w:val="5902019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FE037D6"/>
    <w:multiLevelType w:val="multilevel"/>
    <w:tmpl w:val="75CEBE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0176132"/>
    <w:multiLevelType w:val="hybridMultilevel"/>
    <w:tmpl w:val="0BEC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95614"/>
    <w:multiLevelType w:val="multilevel"/>
    <w:tmpl w:val="2BC0D8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30719E"/>
    <w:multiLevelType w:val="hybridMultilevel"/>
    <w:tmpl w:val="3F366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777B5B"/>
    <w:multiLevelType w:val="hybridMultilevel"/>
    <w:tmpl w:val="3FE6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0"/>
  </w:num>
  <w:num w:numId="4">
    <w:abstractNumId w:val="8"/>
  </w:num>
  <w:num w:numId="5">
    <w:abstractNumId w:val="5"/>
  </w:num>
  <w:num w:numId="6">
    <w:abstractNumId w:val="3"/>
  </w:num>
  <w:num w:numId="7">
    <w:abstractNumId w:val="11"/>
  </w:num>
  <w:num w:numId="8">
    <w:abstractNumId w:val="27"/>
  </w:num>
  <w:num w:numId="9">
    <w:abstractNumId w:val="20"/>
  </w:num>
  <w:num w:numId="10">
    <w:abstractNumId w:val="2"/>
  </w:num>
  <w:num w:numId="11">
    <w:abstractNumId w:val="17"/>
  </w:num>
  <w:num w:numId="12">
    <w:abstractNumId w:val="25"/>
  </w:num>
  <w:num w:numId="13">
    <w:abstractNumId w:val="22"/>
  </w:num>
  <w:num w:numId="14">
    <w:abstractNumId w:val="16"/>
  </w:num>
  <w:num w:numId="15">
    <w:abstractNumId w:val="21"/>
  </w:num>
  <w:num w:numId="16">
    <w:abstractNumId w:val="26"/>
  </w:num>
  <w:num w:numId="17">
    <w:abstractNumId w:val="15"/>
  </w:num>
  <w:num w:numId="18">
    <w:abstractNumId w:val="24"/>
  </w:num>
  <w:num w:numId="19">
    <w:abstractNumId w:val="6"/>
  </w:num>
  <w:num w:numId="20">
    <w:abstractNumId w:val="1"/>
  </w:num>
  <w:num w:numId="21">
    <w:abstractNumId w:val="12"/>
  </w:num>
  <w:num w:numId="22">
    <w:abstractNumId w:val="19"/>
  </w:num>
  <w:num w:numId="23">
    <w:abstractNumId w:val="9"/>
  </w:num>
  <w:num w:numId="24">
    <w:abstractNumId w:val="13"/>
  </w:num>
  <w:num w:numId="25">
    <w:abstractNumId w:val="4"/>
  </w:num>
  <w:num w:numId="26">
    <w:abstractNumId w:val="23"/>
  </w:num>
  <w:num w:numId="27">
    <w:abstractNumId w:val="14"/>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24"/>
    <w:rsid w:val="00003DFC"/>
    <w:rsid w:val="000048F0"/>
    <w:rsid w:val="00007BD1"/>
    <w:rsid w:val="00007D6E"/>
    <w:rsid w:val="00011FBA"/>
    <w:rsid w:val="000130F1"/>
    <w:rsid w:val="0001320F"/>
    <w:rsid w:val="00015293"/>
    <w:rsid w:val="00016EA3"/>
    <w:rsid w:val="00017F73"/>
    <w:rsid w:val="00023FBB"/>
    <w:rsid w:val="00025458"/>
    <w:rsid w:val="0002577A"/>
    <w:rsid w:val="000257AA"/>
    <w:rsid w:val="00026128"/>
    <w:rsid w:val="000262AE"/>
    <w:rsid w:val="00032174"/>
    <w:rsid w:val="00032A46"/>
    <w:rsid w:val="00033545"/>
    <w:rsid w:val="00034A2A"/>
    <w:rsid w:val="000365B8"/>
    <w:rsid w:val="00036C4A"/>
    <w:rsid w:val="000417D7"/>
    <w:rsid w:val="00050235"/>
    <w:rsid w:val="000503AB"/>
    <w:rsid w:val="00053841"/>
    <w:rsid w:val="0005385E"/>
    <w:rsid w:val="000544EA"/>
    <w:rsid w:val="0005484E"/>
    <w:rsid w:val="0005539E"/>
    <w:rsid w:val="00061409"/>
    <w:rsid w:val="00065F2D"/>
    <w:rsid w:val="00067A3F"/>
    <w:rsid w:val="00075EF8"/>
    <w:rsid w:val="00076ED9"/>
    <w:rsid w:val="00077962"/>
    <w:rsid w:val="00082AE6"/>
    <w:rsid w:val="00083637"/>
    <w:rsid w:val="0008445A"/>
    <w:rsid w:val="0008535C"/>
    <w:rsid w:val="000872A3"/>
    <w:rsid w:val="000951CD"/>
    <w:rsid w:val="000A3BA2"/>
    <w:rsid w:val="000A6081"/>
    <w:rsid w:val="000B4388"/>
    <w:rsid w:val="000B7A6E"/>
    <w:rsid w:val="000C1A2E"/>
    <w:rsid w:val="000C36D2"/>
    <w:rsid w:val="000C53AA"/>
    <w:rsid w:val="000C68A5"/>
    <w:rsid w:val="000C773E"/>
    <w:rsid w:val="000D3575"/>
    <w:rsid w:val="000D4DBE"/>
    <w:rsid w:val="000E4697"/>
    <w:rsid w:val="000E654A"/>
    <w:rsid w:val="000E7952"/>
    <w:rsid w:val="000F0114"/>
    <w:rsid w:val="000F0C72"/>
    <w:rsid w:val="000F7C50"/>
    <w:rsid w:val="00101063"/>
    <w:rsid w:val="001021DE"/>
    <w:rsid w:val="0010348D"/>
    <w:rsid w:val="00105F4E"/>
    <w:rsid w:val="001066CD"/>
    <w:rsid w:val="00106E57"/>
    <w:rsid w:val="00110A26"/>
    <w:rsid w:val="00112204"/>
    <w:rsid w:val="00114F9D"/>
    <w:rsid w:val="001218AC"/>
    <w:rsid w:val="00124763"/>
    <w:rsid w:val="00127A82"/>
    <w:rsid w:val="00130C2E"/>
    <w:rsid w:val="001318DE"/>
    <w:rsid w:val="00132C09"/>
    <w:rsid w:val="001343DA"/>
    <w:rsid w:val="001367E2"/>
    <w:rsid w:val="00136A95"/>
    <w:rsid w:val="00143569"/>
    <w:rsid w:val="00151949"/>
    <w:rsid w:val="0015282F"/>
    <w:rsid w:val="00153F47"/>
    <w:rsid w:val="001548C2"/>
    <w:rsid w:val="00165F5F"/>
    <w:rsid w:val="00174E1F"/>
    <w:rsid w:val="001878DC"/>
    <w:rsid w:val="00190138"/>
    <w:rsid w:val="00193560"/>
    <w:rsid w:val="00194C51"/>
    <w:rsid w:val="00194E89"/>
    <w:rsid w:val="001A6DE1"/>
    <w:rsid w:val="001A7C2E"/>
    <w:rsid w:val="001B3EA4"/>
    <w:rsid w:val="001C3797"/>
    <w:rsid w:val="001C50C3"/>
    <w:rsid w:val="001C65F7"/>
    <w:rsid w:val="001D0706"/>
    <w:rsid w:val="001E0089"/>
    <w:rsid w:val="001E3AF9"/>
    <w:rsid w:val="001E6550"/>
    <w:rsid w:val="001F133E"/>
    <w:rsid w:val="001F35DB"/>
    <w:rsid w:val="001F3BFD"/>
    <w:rsid w:val="001F50A2"/>
    <w:rsid w:val="00204CBB"/>
    <w:rsid w:val="0021055F"/>
    <w:rsid w:val="002146F0"/>
    <w:rsid w:val="0021646D"/>
    <w:rsid w:val="00216F62"/>
    <w:rsid w:val="00217A40"/>
    <w:rsid w:val="00226D73"/>
    <w:rsid w:val="00230ABF"/>
    <w:rsid w:val="002319C1"/>
    <w:rsid w:val="00237C8A"/>
    <w:rsid w:val="00241233"/>
    <w:rsid w:val="00242786"/>
    <w:rsid w:val="00243E38"/>
    <w:rsid w:val="002525BC"/>
    <w:rsid w:val="00253D46"/>
    <w:rsid w:val="00257EB8"/>
    <w:rsid w:val="002612A9"/>
    <w:rsid w:val="002665D6"/>
    <w:rsid w:val="00274D30"/>
    <w:rsid w:val="00277780"/>
    <w:rsid w:val="00290DFB"/>
    <w:rsid w:val="00295C64"/>
    <w:rsid w:val="002963C3"/>
    <w:rsid w:val="002A0556"/>
    <w:rsid w:val="002A07BC"/>
    <w:rsid w:val="002A398D"/>
    <w:rsid w:val="002A5F37"/>
    <w:rsid w:val="002A737C"/>
    <w:rsid w:val="002A7FD9"/>
    <w:rsid w:val="002B796A"/>
    <w:rsid w:val="002C25FF"/>
    <w:rsid w:val="002C3912"/>
    <w:rsid w:val="002C40AA"/>
    <w:rsid w:val="002C4960"/>
    <w:rsid w:val="002C5734"/>
    <w:rsid w:val="002C6988"/>
    <w:rsid w:val="002C71D1"/>
    <w:rsid w:val="002D1F91"/>
    <w:rsid w:val="002D261F"/>
    <w:rsid w:val="002D7FB7"/>
    <w:rsid w:val="002E1D6B"/>
    <w:rsid w:val="002E1D87"/>
    <w:rsid w:val="002E35E4"/>
    <w:rsid w:val="002E3EEE"/>
    <w:rsid w:val="002F1E8F"/>
    <w:rsid w:val="002F28F5"/>
    <w:rsid w:val="002F3F2E"/>
    <w:rsid w:val="00300520"/>
    <w:rsid w:val="0030701B"/>
    <w:rsid w:val="00311E28"/>
    <w:rsid w:val="003153B5"/>
    <w:rsid w:val="00323650"/>
    <w:rsid w:val="00323675"/>
    <w:rsid w:val="00324A69"/>
    <w:rsid w:val="00331299"/>
    <w:rsid w:val="003411B5"/>
    <w:rsid w:val="00345A6A"/>
    <w:rsid w:val="00355B68"/>
    <w:rsid w:val="00371F37"/>
    <w:rsid w:val="003724F9"/>
    <w:rsid w:val="00372A2E"/>
    <w:rsid w:val="00372BB3"/>
    <w:rsid w:val="0037334D"/>
    <w:rsid w:val="003767BF"/>
    <w:rsid w:val="003777B6"/>
    <w:rsid w:val="0037790B"/>
    <w:rsid w:val="003870E3"/>
    <w:rsid w:val="0039729E"/>
    <w:rsid w:val="003A0505"/>
    <w:rsid w:val="003A0B18"/>
    <w:rsid w:val="003A2B6B"/>
    <w:rsid w:val="003A4923"/>
    <w:rsid w:val="003A5F26"/>
    <w:rsid w:val="003B115A"/>
    <w:rsid w:val="003B2F36"/>
    <w:rsid w:val="003B5579"/>
    <w:rsid w:val="003B6D3F"/>
    <w:rsid w:val="003B76FC"/>
    <w:rsid w:val="003C32EC"/>
    <w:rsid w:val="003C46F8"/>
    <w:rsid w:val="003C5304"/>
    <w:rsid w:val="003D12C0"/>
    <w:rsid w:val="003D3275"/>
    <w:rsid w:val="003D3D32"/>
    <w:rsid w:val="003D4C2C"/>
    <w:rsid w:val="003D4CD2"/>
    <w:rsid w:val="003D5BF8"/>
    <w:rsid w:val="003E31F8"/>
    <w:rsid w:val="003E3388"/>
    <w:rsid w:val="003E5E31"/>
    <w:rsid w:val="003E617B"/>
    <w:rsid w:val="003F15BE"/>
    <w:rsid w:val="003F2014"/>
    <w:rsid w:val="003F2746"/>
    <w:rsid w:val="003F4116"/>
    <w:rsid w:val="003F46EC"/>
    <w:rsid w:val="003F4CCC"/>
    <w:rsid w:val="0040692E"/>
    <w:rsid w:val="004072BA"/>
    <w:rsid w:val="00410843"/>
    <w:rsid w:val="00411F68"/>
    <w:rsid w:val="00412DD2"/>
    <w:rsid w:val="00413D5E"/>
    <w:rsid w:val="00415F63"/>
    <w:rsid w:val="004166A1"/>
    <w:rsid w:val="00422721"/>
    <w:rsid w:val="00422AE6"/>
    <w:rsid w:val="00424FCC"/>
    <w:rsid w:val="00425688"/>
    <w:rsid w:val="00426D25"/>
    <w:rsid w:val="004312D1"/>
    <w:rsid w:val="00436BDE"/>
    <w:rsid w:val="004378EA"/>
    <w:rsid w:val="0044077A"/>
    <w:rsid w:val="00441E30"/>
    <w:rsid w:val="00443AA8"/>
    <w:rsid w:val="004465F1"/>
    <w:rsid w:val="004475C5"/>
    <w:rsid w:val="00452E24"/>
    <w:rsid w:val="00455024"/>
    <w:rsid w:val="004557BD"/>
    <w:rsid w:val="004559A7"/>
    <w:rsid w:val="00457914"/>
    <w:rsid w:val="00471581"/>
    <w:rsid w:val="004726E7"/>
    <w:rsid w:val="004729AE"/>
    <w:rsid w:val="00472AE8"/>
    <w:rsid w:val="004740BE"/>
    <w:rsid w:val="00474FC3"/>
    <w:rsid w:val="004757F9"/>
    <w:rsid w:val="00477467"/>
    <w:rsid w:val="004774B6"/>
    <w:rsid w:val="00480DC9"/>
    <w:rsid w:val="0048735F"/>
    <w:rsid w:val="00490A74"/>
    <w:rsid w:val="0049293E"/>
    <w:rsid w:val="00493497"/>
    <w:rsid w:val="004A33CF"/>
    <w:rsid w:val="004A3504"/>
    <w:rsid w:val="004A4B5C"/>
    <w:rsid w:val="004A61EE"/>
    <w:rsid w:val="004C5483"/>
    <w:rsid w:val="004D4C30"/>
    <w:rsid w:val="004D6166"/>
    <w:rsid w:val="004D650F"/>
    <w:rsid w:val="004E01EE"/>
    <w:rsid w:val="004E0C5B"/>
    <w:rsid w:val="004E4B5D"/>
    <w:rsid w:val="004F2613"/>
    <w:rsid w:val="004F28EC"/>
    <w:rsid w:val="005008D4"/>
    <w:rsid w:val="0050241E"/>
    <w:rsid w:val="00505D5E"/>
    <w:rsid w:val="00507C3C"/>
    <w:rsid w:val="005105BC"/>
    <w:rsid w:val="00520066"/>
    <w:rsid w:val="005214BF"/>
    <w:rsid w:val="0052212D"/>
    <w:rsid w:val="0052688E"/>
    <w:rsid w:val="005275BC"/>
    <w:rsid w:val="00535D17"/>
    <w:rsid w:val="005362D3"/>
    <w:rsid w:val="00542A13"/>
    <w:rsid w:val="00542EAB"/>
    <w:rsid w:val="005430A5"/>
    <w:rsid w:val="00544FA9"/>
    <w:rsid w:val="00546C27"/>
    <w:rsid w:val="00552101"/>
    <w:rsid w:val="0055639B"/>
    <w:rsid w:val="005569A7"/>
    <w:rsid w:val="00557432"/>
    <w:rsid w:val="00564BA4"/>
    <w:rsid w:val="00571786"/>
    <w:rsid w:val="00571D69"/>
    <w:rsid w:val="00573BC6"/>
    <w:rsid w:val="00577CD8"/>
    <w:rsid w:val="005828DE"/>
    <w:rsid w:val="00582AC3"/>
    <w:rsid w:val="00586643"/>
    <w:rsid w:val="005879B3"/>
    <w:rsid w:val="00587D0B"/>
    <w:rsid w:val="005909E5"/>
    <w:rsid w:val="0059154C"/>
    <w:rsid w:val="00591FCD"/>
    <w:rsid w:val="00592CE9"/>
    <w:rsid w:val="00593051"/>
    <w:rsid w:val="00594C51"/>
    <w:rsid w:val="005A289D"/>
    <w:rsid w:val="005A3F8F"/>
    <w:rsid w:val="005A6D5F"/>
    <w:rsid w:val="005A7876"/>
    <w:rsid w:val="005B08C5"/>
    <w:rsid w:val="005B111D"/>
    <w:rsid w:val="005B1D94"/>
    <w:rsid w:val="005B23B0"/>
    <w:rsid w:val="005B2EA5"/>
    <w:rsid w:val="005B3981"/>
    <w:rsid w:val="005B56A3"/>
    <w:rsid w:val="005B5F04"/>
    <w:rsid w:val="005B6024"/>
    <w:rsid w:val="005C2C8D"/>
    <w:rsid w:val="005C369E"/>
    <w:rsid w:val="005C66BA"/>
    <w:rsid w:val="005D2952"/>
    <w:rsid w:val="005D2D84"/>
    <w:rsid w:val="005D4986"/>
    <w:rsid w:val="005D4FB1"/>
    <w:rsid w:val="005D56B5"/>
    <w:rsid w:val="005D6F65"/>
    <w:rsid w:val="005D7C3A"/>
    <w:rsid w:val="005E0E41"/>
    <w:rsid w:val="005E2037"/>
    <w:rsid w:val="005E3EDF"/>
    <w:rsid w:val="005F4E1D"/>
    <w:rsid w:val="005F57F7"/>
    <w:rsid w:val="00600E72"/>
    <w:rsid w:val="00601859"/>
    <w:rsid w:val="00604776"/>
    <w:rsid w:val="00605008"/>
    <w:rsid w:val="00610B65"/>
    <w:rsid w:val="00610DD4"/>
    <w:rsid w:val="00610E3F"/>
    <w:rsid w:val="00611F5E"/>
    <w:rsid w:val="00612F3B"/>
    <w:rsid w:val="0061421B"/>
    <w:rsid w:val="00614F87"/>
    <w:rsid w:val="0062439C"/>
    <w:rsid w:val="006254C9"/>
    <w:rsid w:val="00626A92"/>
    <w:rsid w:val="0062796A"/>
    <w:rsid w:val="00630465"/>
    <w:rsid w:val="00630993"/>
    <w:rsid w:val="0063126A"/>
    <w:rsid w:val="00635077"/>
    <w:rsid w:val="0063527E"/>
    <w:rsid w:val="006405DA"/>
    <w:rsid w:val="006412CA"/>
    <w:rsid w:val="006414BD"/>
    <w:rsid w:val="00650C1A"/>
    <w:rsid w:val="00652785"/>
    <w:rsid w:val="00662D12"/>
    <w:rsid w:val="0066345D"/>
    <w:rsid w:val="006634E1"/>
    <w:rsid w:val="006702CD"/>
    <w:rsid w:val="00670DC4"/>
    <w:rsid w:val="00676DD8"/>
    <w:rsid w:val="00677AA2"/>
    <w:rsid w:val="00684C9A"/>
    <w:rsid w:val="0068532B"/>
    <w:rsid w:val="00687ADE"/>
    <w:rsid w:val="00687E7E"/>
    <w:rsid w:val="00692A27"/>
    <w:rsid w:val="00694850"/>
    <w:rsid w:val="00697726"/>
    <w:rsid w:val="00697F18"/>
    <w:rsid w:val="006A10A0"/>
    <w:rsid w:val="006A2B63"/>
    <w:rsid w:val="006B1705"/>
    <w:rsid w:val="006B1E40"/>
    <w:rsid w:val="006B5F8A"/>
    <w:rsid w:val="006C6527"/>
    <w:rsid w:val="006C6B31"/>
    <w:rsid w:val="006D1BB5"/>
    <w:rsid w:val="006D219D"/>
    <w:rsid w:val="006F5FE6"/>
    <w:rsid w:val="006F7676"/>
    <w:rsid w:val="007004D5"/>
    <w:rsid w:val="00700C6F"/>
    <w:rsid w:val="00701A3B"/>
    <w:rsid w:val="0070547A"/>
    <w:rsid w:val="007067DC"/>
    <w:rsid w:val="00706AFC"/>
    <w:rsid w:val="007129CF"/>
    <w:rsid w:val="00713105"/>
    <w:rsid w:val="00715440"/>
    <w:rsid w:val="0073504D"/>
    <w:rsid w:val="0073653B"/>
    <w:rsid w:val="00740B55"/>
    <w:rsid w:val="00741605"/>
    <w:rsid w:val="00742163"/>
    <w:rsid w:val="007474A2"/>
    <w:rsid w:val="00750FE8"/>
    <w:rsid w:val="0075113A"/>
    <w:rsid w:val="00752D14"/>
    <w:rsid w:val="00757B40"/>
    <w:rsid w:val="00761700"/>
    <w:rsid w:val="00761A6D"/>
    <w:rsid w:val="00761FA1"/>
    <w:rsid w:val="00762A11"/>
    <w:rsid w:val="007638CB"/>
    <w:rsid w:val="007647AA"/>
    <w:rsid w:val="00767033"/>
    <w:rsid w:val="00770F4E"/>
    <w:rsid w:val="0077148C"/>
    <w:rsid w:val="00776C4A"/>
    <w:rsid w:val="00777316"/>
    <w:rsid w:val="00777930"/>
    <w:rsid w:val="00780FA0"/>
    <w:rsid w:val="00783BEE"/>
    <w:rsid w:val="00785E27"/>
    <w:rsid w:val="00786EBB"/>
    <w:rsid w:val="007902B7"/>
    <w:rsid w:val="00791721"/>
    <w:rsid w:val="00791D34"/>
    <w:rsid w:val="00794414"/>
    <w:rsid w:val="0079702A"/>
    <w:rsid w:val="007A395E"/>
    <w:rsid w:val="007A397E"/>
    <w:rsid w:val="007B0BCF"/>
    <w:rsid w:val="007B40C5"/>
    <w:rsid w:val="007B4396"/>
    <w:rsid w:val="007B4B1F"/>
    <w:rsid w:val="007B527E"/>
    <w:rsid w:val="007C70A1"/>
    <w:rsid w:val="007D6D84"/>
    <w:rsid w:val="007E0825"/>
    <w:rsid w:val="007E0BCA"/>
    <w:rsid w:val="007E2F8E"/>
    <w:rsid w:val="007E76C4"/>
    <w:rsid w:val="007F1CA4"/>
    <w:rsid w:val="007F1E2C"/>
    <w:rsid w:val="007F59A9"/>
    <w:rsid w:val="007F6FBA"/>
    <w:rsid w:val="00801419"/>
    <w:rsid w:val="008041C6"/>
    <w:rsid w:val="00810FF4"/>
    <w:rsid w:val="0081358A"/>
    <w:rsid w:val="00814F8F"/>
    <w:rsid w:val="008164A5"/>
    <w:rsid w:val="008164DC"/>
    <w:rsid w:val="0082372F"/>
    <w:rsid w:val="00830E8C"/>
    <w:rsid w:val="008334CE"/>
    <w:rsid w:val="00833D39"/>
    <w:rsid w:val="00835101"/>
    <w:rsid w:val="008418C8"/>
    <w:rsid w:val="008437C7"/>
    <w:rsid w:val="008440DD"/>
    <w:rsid w:val="00851DB3"/>
    <w:rsid w:val="008559E5"/>
    <w:rsid w:val="008560D3"/>
    <w:rsid w:val="008569C1"/>
    <w:rsid w:val="00857604"/>
    <w:rsid w:val="008667F5"/>
    <w:rsid w:val="00867555"/>
    <w:rsid w:val="00867D82"/>
    <w:rsid w:val="00872AED"/>
    <w:rsid w:val="00874A4E"/>
    <w:rsid w:val="00874D66"/>
    <w:rsid w:val="008808BA"/>
    <w:rsid w:val="008815ED"/>
    <w:rsid w:val="00881D7F"/>
    <w:rsid w:val="008833A9"/>
    <w:rsid w:val="00891B8E"/>
    <w:rsid w:val="00894855"/>
    <w:rsid w:val="00895C66"/>
    <w:rsid w:val="00896F79"/>
    <w:rsid w:val="008A0DD9"/>
    <w:rsid w:val="008B1270"/>
    <w:rsid w:val="008B4E38"/>
    <w:rsid w:val="008C2747"/>
    <w:rsid w:val="008C454B"/>
    <w:rsid w:val="008C795A"/>
    <w:rsid w:val="008D19E4"/>
    <w:rsid w:val="008D1A7C"/>
    <w:rsid w:val="008D5CC5"/>
    <w:rsid w:val="008D67DC"/>
    <w:rsid w:val="008E05B8"/>
    <w:rsid w:val="008E31ED"/>
    <w:rsid w:val="008F1451"/>
    <w:rsid w:val="008F6808"/>
    <w:rsid w:val="009006B4"/>
    <w:rsid w:val="009048A2"/>
    <w:rsid w:val="00911EB1"/>
    <w:rsid w:val="0091303D"/>
    <w:rsid w:val="00915705"/>
    <w:rsid w:val="00915712"/>
    <w:rsid w:val="00916869"/>
    <w:rsid w:val="009213AE"/>
    <w:rsid w:val="0092149B"/>
    <w:rsid w:val="009273EF"/>
    <w:rsid w:val="00932036"/>
    <w:rsid w:val="00933B7D"/>
    <w:rsid w:val="00936332"/>
    <w:rsid w:val="00940611"/>
    <w:rsid w:val="00940642"/>
    <w:rsid w:val="00940FE4"/>
    <w:rsid w:val="0094285D"/>
    <w:rsid w:val="0094486B"/>
    <w:rsid w:val="009449D8"/>
    <w:rsid w:val="00947C69"/>
    <w:rsid w:val="00953790"/>
    <w:rsid w:val="00954329"/>
    <w:rsid w:val="0095630E"/>
    <w:rsid w:val="0095686D"/>
    <w:rsid w:val="00957DCA"/>
    <w:rsid w:val="009641F8"/>
    <w:rsid w:val="00976AF2"/>
    <w:rsid w:val="00985CBD"/>
    <w:rsid w:val="00985D40"/>
    <w:rsid w:val="009870E7"/>
    <w:rsid w:val="009909A6"/>
    <w:rsid w:val="009941E3"/>
    <w:rsid w:val="009A07E0"/>
    <w:rsid w:val="009A1159"/>
    <w:rsid w:val="009A242E"/>
    <w:rsid w:val="009A66C7"/>
    <w:rsid w:val="009A696D"/>
    <w:rsid w:val="009B0F75"/>
    <w:rsid w:val="009B7D35"/>
    <w:rsid w:val="009C0510"/>
    <w:rsid w:val="009C1224"/>
    <w:rsid w:val="009C1379"/>
    <w:rsid w:val="009C2E1A"/>
    <w:rsid w:val="009C774F"/>
    <w:rsid w:val="009D2DAB"/>
    <w:rsid w:val="009E03C7"/>
    <w:rsid w:val="009E7598"/>
    <w:rsid w:val="009F0356"/>
    <w:rsid w:val="009F21DB"/>
    <w:rsid w:val="009F3EC9"/>
    <w:rsid w:val="009F6D3E"/>
    <w:rsid w:val="00A02FBD"/>
    <w:rsid w:val="00A04419"/>
    <w:rsid w:val="00A11685"/>
    <w:rsid w:val="00A15C5C"/>
    <w:rsid w:val="00A16E3D"/>
    <w:rsid w:val="00A17ADF"/>
    <w:rsid w:val="00A23450"/>
    <w:rsid w:val="00A25426"/>
    <w:rsid w:val="00A30336"/>
    <w:rsid w:val="00A31FB2"/>
    <w:rsid w:val="00A34740"/>
    <w:rsid w:val="00A36050"/>
    <w:rsid w:val="00A37989"/>
    <w:rsid w:val="00A438DC"/>
    <w:rsid w:val="00A53661"/>
    <w:rsid w:val="00A6185E"/>
    <w:rsid w:val="00A63CEE"/>
    <w:rsid w:val="00A64929"/>
    <w:rsid w:val="00A65D0B"/>
    <w:rsid w:val="00A66274"/>
    <w:rsid w:val="00A7539E"/>
    <w:rsid w:val="00A8007F"/>
    <w:rsid w:val="00A801F8"/>
    <w:rsid w:val="00A80504"/>
    <w:rsid w:val="00A92E40"/>
    <w:rsid w:val="00A93E37"/>
    <w:rsid w:val="00AA112D"/>
    <w:rsid w:val="00AA3D02"/>
    <w:rsid w:val="00AA4F68"/>
    <w:rsid w:val="00AB0081"/>
    <w:rsid w:val="00AB0165"/>
    <w:rsid w:val="00AB0CE1"/>
    <w:rsid w:val="00AB13C2"/>
    <w:rsid w:val="00AB1F7C"/>
    <w:rsid w:val="00AB3041"/>
    <w:rsid w:val="00AB6652"/>
    <w:rsid w:val="00AB79CC"/>
    <w:rsid w:val="00AC0E69"/>
    <w:rsid w:val="00AD413E"/>
    <w:rsid w:val="00AD6771"/>
    <w:rsid w:val="00AD73B9"/>
    <w:rsid w:val="00AE739B"/>
    <w:rsid w:val="00AF0C47"/>
    <w:rsid w:val="00AF23D8"/>
    <w:rsid w:val="00AF31DB"/>
    <w:rsid w:val="00AF3702"/>
    <w:rsid w:val="00AF6CAC"/>
    <w:rsid w:val="00B02824"/>
    <w:rsid w:val="00B0447D"/>
    <w:rsid w:val="00B06B40"/>
    <w:rsid w:val="00B06DB4"/>
    <w:rsid w:val="00B1010E"/>
    <w:rsid w:val="00B1456A"/>
    <w:rsid w:val="00B16F07"/>
    <w:rsid w:val="00B20472"/>
    <w:rsid w:val="00B20EAD"/>
    <w:rsid w:val="00B23780"/>
    <w:rsid w:val="00B24184"/>
    <w:rsid w:val="00B256AB"/>
    <w:rsid w:val="00B3055B"/>
    <w:rsid w:val="00B32A77"/>
    <w:rsid w:val="00B3303E"/>
    <w:rsid w:val="00B334CE"/>
    <w:rsid w:val="00B3527C"/>
    <w:rsid w:val="00B3665E"/>
    <w:rsid w:val="00B43923"/>
    <w:rsid w:val="00B47A99"/>
    <w:rsid w:val="00B509A0"/>
    <w:rsid w:val="00B53104"/>
    <w:rsid w:val="00B62EB6"/>
    <w:rsid w:val="00B65A1A"/>
    <w:rsid w:val="00B67B47"/>
    <w:rsid w:val="00B71D3E"/>
    <w:rsid w:val="00B81DFE"/>
    <w:rsid w:val="00B826BC"/>
    <w:rsid w:val="00B8348C"/>
    <w:rsid w:val="00B8457A"/>
    <w:rsid w:val="00B845E2"/>
    <w:rsid w:val="00B86175"/>
    <w:rsid w:val="00B91733"/>
    <w:rsid w:val="00B9194C"/>
    <w:rsid w:val="00B91B6D"/>
    <w:rsid w:val="00B92A1F"/>
    <w:rsid w:val="00B942CC"/>
    <w:rsid w:val="00BA18D7"/>
    <w:rsid w:val="00BA19A8"/>
    <w:rsid w:val="00BA1C4E"/>
    <w:rsid w:val="00BA2808"/>
    <w:rsid w:val="00BB06D6"/>
    <w:rsid w:val="00BB58CD"/>
    <w:rsid w:val="00BB5E5A"/>
    <w:rsid w:val="00BB671E"/>
    <w:rsid w:val="00BC1E11"/>
    <w:rsid w:val="00BC4750"/>
    <w:rsid w:val="00BC4E46"/>
    <w:rsid w:val="00BC504C"/>
    <w:rsid w:val="00BC5F0B"/>
    <w:rsid w:val="00BC7A6D"/>
    <w:rsid w:val="00BD1704"/>
    <w:rsid w:val="00BD1AAB"/>
    <w:rsid w:val="00BD2518"/>
    <w:rsid w:val="00BD51E9"/>
    <w:rsid w:val="00BD76EC"/>
    <w:rsid w:val="00BE128A"/>
    <w:rsid w:val="00BE4698"/>
    <w:rsid w:val="00BE5873"/>
    <w:rsid w:val="00BE72AF"/>
    <w:rsid w:val="00BF264A"/>
    <w:rsid w:val="00BF29FF"/>
    <w:rsid w:val="00BF6018"/>
    <w:rsid w:val="00BF77E6"/>
    <w:rsid w:val="00BF794C"/>
    <w:rsid w:val="00C01312"/>
    <w:rsid w:val="00C048BB"/>
    <w:rsid w:val="00C11548"/>
    <w:rsid w:val="00C11FFF"/>
    <w:rsid w:val="00C15FEF"/>
    <w:rsid w:val="00C163C4"/>
    <w:rsid w:val="00C21D5B"/>
    <w:rsid w:val="00C2319E"/>
    <w:rsid w:val="00C23B2F"/>
    <w:rsid w:val="00C248E0"/>
    <w:rsid w:val="00C259BC"/>
    <w:rsid w:val="00C26AB5"/>
    <w:rsid w:val="00C3065C"/>
    <w:rsid w:val="00C34C4F"/>
    <w:rsid w:val="00C35AE0"/>
    <w:rsid w:val="00C40AE2"/>
    <w:rsid w:val="00C431D8"/>
    <w:rsid w:val="00C44A1D"/>
    <w:rsid w:val="00C46EBE"/>
    <w:rsid w:val="00C52697"/>
    <w:rsid w:val="00C5404F"/>
    <w:rsid w:val="00C5741B"/>
    <w:rsid w:val="00C57447"/>
    <w:rsid w:val="00C576DE"/>
    <w:rsid w:val="00C62381"/>
    <w:rsid w:val="00C62BFD"/>
    <w:rsid w:val="00C64C5A"/>
    <w:rsid w:val="00C66636"/>
    <w:rsid w:val="00C737E9"/>
    <w:rsid w:val="00C81112"/>
    <w:rsid w:val="00C8245B"/>
    <w:rsid w:val="00C8416D"/>
    <w:rsid w:val="00C867FC"/>
    <w:rsid w:val="00C9373F"/>
    <w:rsid w:val="00C96C68"/>
    <w:rsid w:val="00CA5C6C"/>
    <w:rsid w:val="00CA7B09"/>
    <w:rsid w:val="00CB0C07"/>
    <w:rsid w:val="00CB41EF"/>
    <w:rsid w:val="00CB5A8D"/>
    <w:rsid w:val="00CB71C2"/>
    <w:rsid w:val="00CC0EC9"/>
    <w:rsid w:val="00CC5BFA"/>
    <w:rsid w:val="00CC7248"/>
    <w:rsid w:val="00CD775C"/>
    <w:rsid w:val="00CD7C46"/>
    <w:rsid w:val="00CE2736"/>
    <w:rsid w:val="00CE54E0"/>
    <w:rsid w:val="00CE61EA"/>
    <w:rsid w:val="00D004E4"/>
    <w:rsid w:val="00D052D8"/>
    <w:rsid w:val="00D057FF"/>
    <w:rsid w:val="00D0692E"/>
    <w:rsid w:val="00D073B1"/>
    <w:rsid w:val="00D07E63"/>
    <w:rsid w:val="00D141A9"/>
    <w:rsid w:val="00D17612"/>
    <w:rsid w:val="00D200EA"/>
    <w:rsid w:val="00D210A1"/>
    <w:rsid w:val="00D23411"/>
    <w:rsid w:val="00D30457"/>
    <w:rsid w:val="00D31AA2"/>
    <w:rsid w:val="00D33760"/>
    <w:rsid w:val="00D33E89"/>
    <w:rsid w:val="00D348A6"/>
    <w:rsid w:val="00D41279"/>
    <w:rsid w:val="00D4231A"/>
    <w:rsid w:val="00D4265E"/>
    <w:rsid w:val="00D44081"/>
    <w:rsid w:val="00D44164"/>
    <w:rsid w:val="00D47AC6"/>
    <w:rsid w:val="00D47F1A"/>
    <w:rsid w:val="00D505FE"/>
    <w:rsid w:val="00D50914"/>
    <w:rsid w:val="00D5273B"/>
    <w:rsid w:val="00D53129"/>
    <w:rsid w:val="00D60ED6"/>
    <w:rsid w:val="00D61A1A"/>
    <w:rsid w:val="00D626A8"/>
    <w:rsid w:val="00D65FDE"/>
    <w:rsid w:val="00D667A1"/>
    <w:rsid w:val="00D66EAF"/>
    <w:rsid w:val="00D67DDF"/>
    <w:rsid w:val="00D72140"/>
    <w:rsid w:val="00D729D1"/>
    <w:rsid w:val="00D7463B"/>
    <w:rsid w:val="00D75FE4"/>
    <w:rsid w:val="00D779AB"/>
    <w:rsid w:val="00D80FE6"/>
    <w:rsid w:val="00D847E7"/>
    <w:rsid w:val="00D84C36"/>
    <w:rsid w:val="00D85BB5"/>
    <w:rsid w:val="00D86B25"/>
    <w:rsid w:val="00D90AD3"/>
    <w:rsid w:val="00D9279E"/>
    <w:rsid w:val="00D93103"/>
    <w:rsid w:val="00D93CDD"/>
    <w:rsid w:val="00D9587D"/>
    <w:rsid w:val="00DA0A8D"/>
    <w:rsid w:val="00DB20E5"/>
    <w:rsid w:val="00DB328C"/>
    <w:rsid w:val="00DB34E8"/>
    <w:rsid w:val="00DB3F96"/>
    <w:rsid w:val="00DB49F4"/>
    <w:rsid w:val="00DB4F1F"/>
    <w:rsid w:val="00DB5F2A"/>
    <w:rsid w:val="00DB6F58"/>
    <w:rsid w:val="00DC47A7"/>
    <w:rsid w:val="00DE28BC"/>
    <w:rsid w:val="00DE28E9"/>
    <w:rsid w:val="00DF1FE8"/>
    <w:rsid w:val="00DF7300"/>
    <w:rsid w:val="00E01768"/>
    <w:rsid w:val="00E01D1E"/>
    <w:rsid w:val="00E03DF4"/>
    <w:rsid w:val="00E067D0"/>
    <w:rsid w:val="00E10B5D"/>
    <w:rsid w:val="00E15D46"/>
    <w:rsid w:val="00E16B4C"/>
    <w:rsid w:val="00E170AF"/>
    <w:rsid w:val="00E17B65"/>
    <w:rsid w:val="00E21135"/>
    <w:rsid w:val="00E22864"/>
    <w:rsid w:val="00E24668"/>
    <w:rsid w:val="00E31BB8"/>
    <w:rsid w:val="00E3610B"/>
    <w:rsid w:val="00E42D89"/>
    <w:rsid w:val="00E4326C"/>
    <w:rsid w:val="00E47B4D"/>
    <w:rsid w:val="00E501EB"/>
    <w:rsid w:val="00E57155"/>
    <w:rsid w:val="00E5717C"/>
    <w:rsid w:val="00E60E69"/>
    <w:rsid w:val="00E61CC5"/>
    <w:rsid w:val="00E6263F"/>
    <w:rsid w:val="00E631CF"/>
    <w:rsid w:val="00E6377A"/>
    <w:rsid w:val="00E64FF7"/>
    <w:rsid w:val="00E65848"/>
    <w:rsid w:val="00E83473"/>
    <w:rsid w:val="00E84131"/>
    <w:rsid w:val="00E85755"/>
    <w:rsid w:val="00E86297"/>
    <w:rsid w:val="00E87D59"/>
    <w:rsid w:val="00E92350"/>
    <w:rsid w:val="00E94688"/>
    <w:rsid w:val="00E961A4"/>
    <w:rsid w:val="00E97C32"/>
    <w:rsid w:val="00EA0980"/>
    <w:rsid w:val="00EA1798"/>
    <w:rsid w:val="00EA1B43"/>
    <w:rsid w:val="00EA3136"/>
    <w:rsid w:val="00EA5BDB"/>
    <w:rsid w:val="00EB2858"/>
    <w:rsid w:val="00EB4FD5"/>
    <w:rsid w:val="00EC25FF"/>
    <w:rsid w:val="00ED11AB"/>
    <w:rsid w:val="00ED3E94"/>
    <w:rsid w:val="00ED48DF"/>
    <w:rsid w:val="00ED594D"/>
    <w:rsid w:val="00EE07F7"/>
    <w:rsid w:val="00EE307B"/>
    <w:rsid w:val="00EE608C"/>
    <w:rsid w:val="00EF0B4C"/>
    <w:rsid w:val="00EF36A1"/>
    <w:rsid w:val="00EF39DE"/>
    <w:rsid w:val="00EF79A8"/>
    <w:rsid w:val="00F00683"/>
    <w:rsid w:val="00F00BA2"/>
    <w:rsid w:val="00F02A8A"/>
    <w:rsid w:val="00F03BE9"/>
    <w:rsid w:val="00F04E5E"/>
    <w:rsid w:val="00F13D92"/>
    <w:rsid w:val="00F14644"/>
    <w:rsid w:val="00F1587B"/>
    <w:rsid w:val="00F16F55"/>
    <w:rsid w:val="00F17761"/>
    <w:rsid w:val="00F22592"/>
    <w:rsid w:val="00F24173"/>
    <w:rsid w:val="00F25104"/>
    <w:rsid w:val="00F253A3"/>
    <w:rsid w:val="00F26461"/>
    <w:rsid w:val="00F30352"/>
    <w:rsid w:val="00F30ADC"/>
    <w:rsid w:val="00F3131A"/>
    <w:rsid w:val="00F328F0"/>
    <w:rsid w:val="00F3383F"/>
    <w:rsid w:val="00F340A1"/>
    <w:rsid w:val="00F34683"/>
    <w:rsid w:val="00F4050A"/>
    <w:rsid w:val="00F4267A"/>
    <w:rsid w:val="00F427D2"/>
    <w:rsid w:val="00F5213F"/>
    <w:rsid w:val="00F52BF0"/>
    <w:rsid w:val="00F53E75"/>
    <w:rsid w:val="00F61262"/>
    <w:rsid w:val="00F6186B"/>
    <w:rsid w:val="00F64156"/>
    <w:rsid w:val="00F65ACE"/>
    <w:rsid w:val="00F74C3C"/>
    <w:rsid w:val="00F76E25"/>
    <w:rsid w:val="00F87851"/>
    <w:rsid w:val="00F9419E"/>
    <w:rsid w:val="00F94505"/>
    <w:rsid w:val="00F97C3F"/>
    <w:rsid w:val="00F97D05"/>
    <w:rsid w:val="00FA0902"/>
    <w:rsid w:val="00FA21AB"/>
    <w:rsid w:val="00FA3284"/>
    <w:rsid w:val="00FA3E0A"/>
    <w:rsid w:val="00FA4282"/>
    <w:rsid w:val="00FA7BF5"/>
    <w:rsid w:val="00FB0F5B"/>
    <w:rsid w:val="00FB58C4"/>
    <w:rsid w:val="00FC0F5E"/>
    <w:rsid w:val="00FC2EDD"/>
    <w:rsid w:val="00FC3DE1"/>
    <w:rsid w:val="00FC4AA1"/>
    <w:rsid w:val="00FC4AFF"/>
    <w:rsid w:val="00FC71DC"/>
    <w:rsid w:val="00FD1E32"/>
    <w:rsid w:val="00FE1402"/>
    <w:rsid w:val="00FE44F3"/>
    <w:rsid w:val="00FE4C21"/>
    <w:rsid w:val="00FE59E7"/>
    <w:rsid w:val="00FE7E79"/>
    <w:rsid w:val="00FF3090"/>
    <w:rsid w:val="00FF3768"/>
    <w:rsid w:val="00FF4CFB"/>
    <w:rsid w:val="00FF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35"/>
  </w:style>
  <w:style w:type="paragraph" w:styleId="Heading1">
    <w:name w:val="heading 1"/>
    <w:basedOn w:val="Normal"/>
    <w:next w:val="Normal"/>
    <w:link w:val="Heading1Char"/>
    <w:uiPriority w:val="9"/>
    <w:qFormat/>
    <w:rsid w:val="00900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6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wire-cite-jnl-info2">
    <w:name w:val="highwire-cite-jnl-info2"/>
    <w:basedOn w:val="DefaultParagraphFont"/>
    <w:rsid w:val="00C62381"/>
    <w:rPr>
      <w:sz w:val="24"/>
      <w:szCs w:val="24"/>
      <w:bdr w:val="none" w:sz="0" w:space="0" w:color="auto" w:frame="1"/>
      <w:vertAlign w:val="baseline"/>
    </w:rPr>
  </w:style>
  <w:style w:type="character" w:customStyle="1" w:styleId="highwire-cite-volume-issue">
    <w:name w:val="highwire-cite-volume-issue"/>
    <w:basedOn w:val="DefaultParagraphFont"/>
    <w:rsid w:val="00C62381"/>
    <w:rPr>
      <w:sz w:val="24"/>
      <w:szCs w:val="24"/>
      <w:bdr w:val="none" w:sz="0" w:space="0" w:color="auto" w:frame="1"/>
      <w:vertAlign w:val="baseline"/>
    </w:rPr>
  </w:style>
  <w:style w:type="character" w:customStyle="1" w:styleId="issue-text2">
    <w:name w:val="issue-text2"/>
    <w:basedOn w:val="DefaultParagraphFont"/>
    <w:rsid w:val="00C62381"/>
    <w:rPr>
      <w:sz w:val="24"/>
      <w:szCs w:val="24"/>
      <w:bdr w:val="none" w:sz="0" w:space="0" w:color="auto" w:frame="1"/>
      <w:vertAlign w:val="baseline"/>
    </w:rPr>
  </w:style>
  <w:style w:type="character" w:customStyle="1" w:styleId="highwire-cite-pages3">
    <w:name w:val="highwire-cite-pages3"/>
    <w:basedOn w:val="DefaultParagraphFont"/>
    <w:rsid w:val="00C62381"/>
    <w:rPr>
      <w:sz w:val="24"/>
      <w:szCs w:val="24"/>
      <w:bdr w:val="none" w:sz="0" w:space="0" w:color="auto" w:frame="1"/>
      <w:vertAlign w:val="baseline"/>
    </w:rPr>
  </w:style>
  <w:style w:type="character" w:styleId="Hyperlink">
    <w:name w:val="Hyperlink"/>
    <w:basedOn w:val="DefaultParagraphFont"/>
    <w:uiPriority w:val="99"/>
    <w:unhideWhenUsed/>
    <w:rsid w:val="009A242E"/>
    <w:rPr>
      <w:color w:val="0000FF" w:themeColor="hyperlink"/>
      <w:u w:val="single"/>
    </w:rPr>
  </w:style>
  <w:style w:type="paragraph" w:styleId="ListParagraph">
    <w:name w:val="List Paragraph"/>
    <w:basedOn w:val="Normal"/>
    <w:uiPriority w:val="34"/>
    <w:qFormat/>
    <w:rsid w:val="0015282F"/>
    <w:pPr>
      <w:ind w:left="720"/>
      <w:contextualSpacing/>
    </w:pPr>
  </w:style>
  <w:style w:type="character" w:styleId="Strong">
    <w:name w:val="Strong"/>
    <w:basedOn w:val="DefaultParagraphFont"/>
    <w:uiPriority w:val="22"/>
    <w:qFormat/>
    <w:rsid w:val="00D31AA2"/>
    <w:rPr>
      <w:b/>
      <w:bCs/>
      <w:color w:val="000000"/>
    </w:rPr>
  </w:style>
  <w:style w:type="paragraph" w:customStyle="1" w:styleId="Default">
    <w:name w:val="Default"/>
    <w:rsid w:val="002F1E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2C4960"/>
    <w:pPr>
      <w:spacing w:line="271" w:lineRule="atLeast"/>
    </w:pPr>
    <w:rPr>
      <w:color w:val="auto"/>
    </w:rPr>
  </w:style>
  <w:style w:type="paragraph" w:styleId="FootnoteText">
    <w:name w:val="footnote text"/>
    <w:basedOn w:val="Normal"/>
    <w:link w:val="FootnoteTextChar"/>
    <w:uiPriority w:val="99"/>
    <w:semiHidden/>
    <w:unhideWhenUsed/>
    <w:rsid w:val="00050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3AB"/>
    <w:rPr>
      <w:sz w:val="20"/>
      <w:szCs w:val="20"/>
    </w:rPr>
  </w:style>
  <w:style w:type="character" w:styleId="FootnoteReference">
    <w:name w:val="footnote reference"/>
    <w:basedOn w:val="DefaultParagraphFont"/>
    <w:uiPriority w:val="99"/>
    <w:semiHidden/>
    <w:unhideWhenUsed/>
    <w:rsid w:val="000503AB"/>
    <w:rPr>
      <w:vertAlign w:val="superscript"/>
    </w:rPr>
  </w:style>
  <w:style w:type="character" w:styleId="CommentReference">
    <w:name w:val="annotation reference"/>
    <w:basedOn w:val="DefaultParagraphFont"/>
    <w:uiPriority w:val="99"/>
    <w:semiHidden/>
    <w:unhideWhenUsed/>
    <w:rsid w:val="005430A5"/>
    <w:rPr>
      <w:sz w:val="16"/>
      <w:szCs w:val="16"/>
    </w:rPr>
  </w:style>
  <w:style w:type="paragraph" w:styleId="CommentText">
    <w:name w:val="annotation text"/>
    <w:basedOn w:val="Normal"/>
    <w:link w:val="CommentTextChar"/>
    <w:uiPriority w:val="99"/>
    <w:semiHidden/>
    <w:unhideWhenUsed/>
    <w:rsid w:val="005430A5"/>
    <w:pPr>
      <w:spacing w:line="240" w:lineRule="auto"/>
    </w:pPr>
    <w:rPr>
      <w:sz w:val="20"/>
      <w:szCs w:val="20"/>
    </w:rPr>
  </w:style>
  <w:style w:type="character" w:customStyle="1" w:styleId="CommentTextChar">
    <w:name w:val="Comment Text Char"/>
    <w:basedOn w:val="DefaultParagraphFont"/>
    <w:link w:val="CommentText"/>
    <w:uiPriority w:val="99"/>
    <w:semiHidden/>
    <w:rsid w:val="005430A5"/>
    <w:rPr>
      <w:sz w:val="20"/>
      <w:szCs w:val="20"/>
    </w:rPr>
  </w:style>
  <w:style w:type="paragraph" w:styleId="CommentSubject">
    <w:name w:val="annotation subject"/>
    <w:basedOn w:val="CommentText"/>
    <w:next w:val="CommentText"/>
    <w:link w:val="CommentSubjectChar"/>
    <w:uiPriority w:val="99"/>
    <w:semiHidden/>
    <w:unhideWhenUsed/>
    <w:rsid w:val="005430A5"/>
    <w:rPr>
      <w:b/>
      <w:bCs/>
    </w:rPr>
  </w:style>
  <w:style w:type="character" w:customStyle="1" w:styleId="CommentSubjectChar">
    <w:name w:val="Comment Subject Char"/>
    <w:basedOn w:val="CommentTextChar"/>
    <w:link w:val="CommentSubject"/>
    <w:uiPriority w:val="99"/>
    <w:semiHidden/>
    <w:rsid w:val="005430A5"/>
    <w:rPr>
      <w:b/>
      <w:bCs/>
      <w:sz w:val="20"/>
      <w:szCs w:val="20"/>
    </w:rPr>
  </w:style>
  <w:style w:type="paragraph" w:styleId="BalloonText">
    <w:name w:val="Balloon Text"/>
    <w:basedOn w:val="Normal"/>
    <w:link w:val="BalloonTextChar"/>
    <w:uiPriority w:val="99"/>
    <w:semiHidden/>
    <w:unhideWhenUsed/>
    <w:rsid w:val="0054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0A5"/>
    <w:rPr>
      <w:rFonts w:ascii="Tahoma" w:hAnsi="Tahoma" w:cs="Tahoma"/>
      <w:sz w:val="16"/>
      <w:szCs w:val="16"/>
    </w:rPr>
  </w:style>
  <w:style w:type="character" w:styleId="FollowedHyperlink">
    <w:name w:val="FollowedHyperlink"/>
    <w:basedOn w:val="DefaultParagraphFont"/>
    <w:uiPriority w:val="99"/>
    <w:semiHidden/>
    <w:unhideWhenUsed/>
    <w:rsid w:val="00E94688"/>
    <w:rPr>
      <w:color w:val="800080" w:themeColor="followedHyperlink"/>
      <w:u w:val="single"/>
    </w:rPr>
  </w:style>
  <w:style w:type="paragraph" w:styleId="Header">
    <w:name w:val="header"/>
    <w:basedOn w:val="Normal"/>
    <w:link w:val="HeaderChar"/>
    <w:uiPriority w:val="99"/>
    <w:unhideWhenUsed/>
    <w:rsid w:val="00F65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ACE"/>
  </w:style>
  <w:style w:type="paragraph" w:styleId="Footer">
    <w:name w:val="footer"/>
    <w:basedOn w:val="Normal"/>
    <w:link w:val="FooterChar"/>
    <w:uiPriority w:val="99"/>
    <w:unhideWhenUsed/>
    <w:rsid w:val="00F65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ACE"/>
  </w:style>
  <w:style w:type="character" w:customStyle="1" w:styleId="Heading2Char">
    <w:name w:val="Heading 2 Char"/>
    <w:basedOn w:val="DefaultParagraphFont"/>
    <w:link w:val="Heading2"/>
    <w:uiPriority w:val="9"/>
    <w:rsid w:val="003E61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06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35"/>
  </w:style>
  <w:style w:type="paragraph" w:styleId="Heading1">
    <w:name w:val="heading 1"/>
    <w:basedOn w:val="Normal"/>
    <w:next w:val="Normal"/>
    <w:link w:val="Heading1Char"/>
    <w:uiPriority w:val="9"/>
    <w:qFormat/>
    <w:rsid w:val="00900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6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wire-cite-jnl-info2">
    <w:name w:val="highwire-cite-jnl-info2"/>
    <w:basedOn w:val="DefaultParagraphFont"/>
    <w:rsid w:val="00C62381"/>
    <w:rPr>
      <w:sz w:val="24"/>
      <w:szCs w:val="24"/>
      <w:bdr w:val="none" w:sz="0" w:space="0" w:color="auto" w:frame="1"/>
      <w:vertAlign w:val="baseline"/>
    </w:rPr>
  </w:style>
  <w:style w:type="character" w:customStyle="1" w:styleId="highwire-cite-volume-issue">
    <w:name w:val="highwire-cite-volume-issue"/>
    <w:basedOn w:val="DefaultParagraphFont"/>
    <w:rsid w:val="00C62381"/>
    <w:rPr>
      <w:sz w:val="24"/>
      <w:szCs w:val="24"/>
      <w:bdr w:val="none" w:sz="0" w:space="0" w:color="auto" w:frame="1"/>
      <w:vertAlign w:val="baseline"/>
    </w:rPr>
  </w:style>
  <w:style w:type="character" w:customStyle="1" w:styleId="issue-text2">
    <w:name w:val="issue-text2"/>
    <w:basedOn w:val="DefaultParagraphFont"/>
    <w:rsid w:val="00C62381"/>
    <w:rPr>
      <w:sz w:val="24"/>
      <w:szCs w:val="24"/>
      <w:bdr w:val="none" w:sz="0" w:space="0" w:color="auto" w:frame="1"/>
      <w:vertAlign w:val="baseline"/>
    </w:rPr>
  </w:style>
  <w:style w:type="character" w:customStyle="1" w:styleId="highwire-cite-pages3">
    <w:name w:val="highwire-cite-pages3"/>
    <w:basedOn w:val="DefaultParagraphFont"/>
    <w:rsid w:val="00C62381"/>
    <w:rPr>
      <w:sz w:val="24"/>
      <w:szCs w:val="24"/>
      <w:bdr w:val="none" w:sz="0" w:space="0" w:color="auto" w:frame="1"/>
      <w:vertAlign w:val="baseline"/>
    </w:rPr>
  </w:style>
  <w:style w:type="character" w:styleId="Hyperlink">
    <w:name w:val="Hyperlink"/>
    <w:basedOn w:val="DefaultParagraphFont"/>
    <w:uiPriority w:val="99"/>
    <w:unhideWhenUsed/>
    <w:rsid w:val="009A242E"/>
    <w:rPr>
      <w:color w:val="0000FF" w:themeColor="hyperlink"/>
      <w:u w:val="single"/>
    </w:rPr>
  </w:style>
  <w:style w:type="paragraph" w:styleId="ListParagraph">
    <w:name w:val="List Paragraph"/>
    <w:basedOn w:val="Normal"/>
    <w:uiPriority w:val="34"/>
    <w:qFormat/>
    <w:rsid w:val="0015282F"/>
    <w:pPr>
      <w:ind w:left="720"/>
      <w:contextualSpacing/>
    </w:pPr>
  </w:style>
  <w:style w:type="character" w:styleId="Strong">
    <w:name w:val="Strong"/>
    <w:basedOn w:val="DefaultParagraphFont"/>
    <w:uiPriority w:val="22"/>
    <w:qFormat/>
    <w:rsid w:val="00D31AA2"/>
    <w:rPr>
      <w:b/>
      <w:bCs/>
      <w:color w:val="000000"/>
    </w:rPr>
  </w:style>
  <w:style w:type="paragraph" w:customStyle="1" w:styleId="Default">
    <w:name w:val="Default"/>
    <w:rsid w:val="002F1E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2C4960"/>
    <w:pPr>
      <w:spacing w:line="271" w:lineRule="atLeast"/>
    </w:pPr>
    <w:rPr>
      <w:color w:val="auto"/>
    </w:rPr>
  </w:style>
  <w:style w:type="paragraph" w:styleId="FootnoteText">
    <w:name w:val="footnote text"/>
    <w:basedOn w:val="Normal"/>
    <w:link w:val="FootnoteTextChar"/>
    <w:uiPriority w:val="99"/>
    <w:semiHidden/>
    <w:unhideWhenUsed/>
    <w:rsid w:val="00050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3AB"/>
    <w:rPr>
      <w:sz w:val="20"/>
      <w:szCs w:val="20"/>
    </w:rPr>
  </w:style>
  <w:style w:type="character" w:styleId="FootnoteReference">
    <w:name w:val="footnote reference"/>
    <w:basedOn w:val="DefaultParagraphFont"/>
    <w:uiPriority w:val="99"/>
    <w:semiHidden/>
    <w:unhideWhenUsed/>
    <w:rsid w:val="000503AB"/>
    <w:rPr>
      <w:vertAlign w:val="superscript"/>
    </w:rPr>
  </w:style>
  <w:style w:type="character" w:styleId="CommentReference">
    <w:name w:val="annotation reference"/>
    <w:basedOn w:val="DefaultParagraphFont"/>
    <w:uiPriority w:val="99"/>
    <w:semiHidden/>
    <w:unhideWhenUsed/>
    <w:rsid w:val="005430A5"/>
    <w:rPr>
      <w:sz w:val="16"/>
      <w:szCs w:val="16"/>
    </w:rPr>
  </w:style>
  <w:style w:type="paragraph" w:styleId="CommentText">
    <w:name w:val="annotation text"/>
    <w:basedOn w:val="Normal"/>
    <w:link w:val="CommentTextChar"/>
    <w:uiPriority w:val="99"/>
    <w:semiHidden/>
    <w:unhideWhenUsed/>
    <w:rsid w:val="005430A5"/>
    <w:pPr>
      <w:spacing w:line="240" w:lineRule="auto"/>
    </w:pPr>
    <w:rPr>
      <w:sz w:val="20"/>
      <w:szCs w:val="20"/>
    </w:rPr>
  </w:style>
  <w:style w:type="character" w:customStyle="1" w:styleId="CommentTextChar">
    <w:name w:val="Comment Text Char"/>
    <w:basedOn w:val="DefaultParagraphFont"/>
    <w:link w:val="CommentText"/>
    <w:uiPriority w:val="99"/>
    <w:semiHidden/>
    <w:rsid w:val="005430A5"/>
    <w:rPr>
      <w:sz w:val="20"/>
      <w:szCs w:val="20"/>
    </w:rPr>
  </w:style>
  <w:style w:type="paragraph" w:styleId="CommentSubject">
    <w:name w:val="annotation subject"/>
    <w:basedOn w:val="CommentText"/>
    <w:next w:val="CommentText"/>
    <w:link w:val="CommentSubjectChar"/>
    <w:uiPriority w:val="99"/>
    <w:semiHidden/>
    <w:unhideWhenUsed/>
    <w:rsid w:val="005430A5"/>
    <w:rPr>
      <w:b/>
      <w:bCs/>
    </w:rPr>
  </w:style>
  <w:style w:type="character" w:customStyle="1" w:styleId="CommentSubjectChar">
    <w:name w:val="Comment Subject Char"/>
    <w:basedOn w:val="CommentTextChar"/>
    <w:link w:val="CommentSubject"/>
    <w:uiPriority w:val="99"/>
    <w:semiHidden/>
    <w:rsid w:val="005430A5"/>
    <w:rPr>
      <w:b/>
      <w:bCs/>
      <w:sz w:val="20"/>
      <w:szCs w:val="20"/>
    </w:rPr>
  </w:style>
  <w:style w:type="paragraph" w:styleId="BalloonText">
    <w:name w:val="Balloon Text"/>
    <w:basedOn w:val="Normal"/>
    <w:link w:val="BalloonTextChar"/>
    <w:uiPriority w:val="99"/>
    <w:semiHidden/>
    <w:unhideWhenUsed/>
    <w:rsid w:val="0054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0A5"/>
    <w:rPr>
      <w:rFonts w:ascii="Tahoma" w:hAnsi="Tahoma" w:cs="Tahoma"/>
      <w:sz w:val="16"/>
      <w:szCs w:val="16"/>
    </w:rPr>
  </w:style>
  <w:style w:type="character" w:styleId="FollowedHyperlink">
    <w:name w:val="FollowedHyperlink"/>
    <w:basedOn w:val="DefaultParagraphFont"/>
    <w:uiPriority w:val="99"/>
    <w:semiHidden/>
    <w:unhideWhenUsed/>
    <w:rsid w:val="00E94688"/>
    <w:rPr>
      <w:color w:val="800080" w:themeColor="followedHyperlink"/>
      <w:u w:val="single"/>
    </w:rPr>
  </w:style>
  <w:style w:type="paragraph" w:styleId="Header">
    <w:name w:val="header"/>
    <w:basedOn w:val="Normal"/>
    <w:link w:val="HeaderChar"/>
    <w:uiPriority w:val="99"/>
    <w:unhideWhenUsed/>
    <w:rsid w:val="00F65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ACE"/>
  </w:style>
  <w:style w:type="paragraph" w:styleId="Footer">
    <w:name w:val="footer"/>
    <w:basedOn w:val="Normal"/>
    <w:link w:val="FooterChar"/>
    <w:uiPriority w:val="99"/>
    <w:unhideWhenUsed/>
    <w:rsid w:val="00F65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ACE"/>
  </w:style>
  <w:style w:type="character" w:customStyle="1" w:styleId="Heading2Char">
    <w:name w:val="Heading 2 Char"/>
    <w:basedOn w:val="DefaultParagraphFont"/>
    <w:link w:val="Heading2"/>
    <w:uiPriority w:val="9"/>
    <w:rsid w:val="003E61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06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02940">
      <w:bodyDiv w:val="1"/>
      <w:marLeft w:val="0"/>
      <w:marRight w:val="0"/>
      <w:marTop w:val="0"/>
      <w:marBottom w:val="0"/>
      <w:divBdr>
        <w:top w:val="none" w:sz="0" w:space="0" w:color="auto"/>
        <w:left w:val="none" w:sz="0" w:space="0" w:color="auto"/>
        <w:bottom w:val="none" w:sz="0" w:space="0" w:color="auto"/>
        <w:right w:val="none" w:sz="0" w:space="0" w:color="auto"/>
      </w:divBdr>
      <w:divsChild>
        <w:div w:id="514618610">
          <w:marLeft w:val="0"/>
          <w:marRight w:val="0"/>
          <w:marTop w:val="0"/>
          <w:marBottom w:val="0"/>
          <w:divBdr>
            <w:top w:val="none" w:sz="0" w:space="0" w:color="auto"/>
            <w:left w:val="none" w:sz="0" w:space="0" w:color="auto"/>
            <w:bottom w:val="none" w:sz="0" w:space="0" w:color="auto"/>
            <w:right w:val="none" w:sz="0" w:space="0" w:color="auto"/>
          </w:divBdr>
          <w:divsChild>
            <w:div w:id="691222649">
              <w:marLeft w:val="0"/>
              <w:marRight w:val="0"/>
              <w:marTop w:val="0"/>
              <w:marBottom w:val="0"/>
              <w:divBdr>
                <w:top w:val="none" w:sz="0" w:space="0" w:color="auto"/>
                <w:left w:val="none" w:sz="0" w:space="0" w:color="auto"/>
                <w:bottom w:val="none" w:sz="0" w:space="0" w:color="auto"/>
                <w:right w:val="none" w:sz="0" w:space="0" w:color="auto"/>
              </w:divBdr>
              <w:divsChild>
                <w:div w:id="1727147346">
                  <w:marLeft w:val="0"/>
                  <w:marRight w:val="0"/>
                  <w:marTop w:val="0"/>
                  <w:marBottom w:val="0"/>
                  <w:divBdr>
                    <w:top w:val="none" w:sz="0" w:space="0" w:color="auto"/>
                    <w:left w:val="none" w:sz="0" w:space="0" w:color="auto"/>
                    <w:bottom w:val="none" w:sz="0" w:space="0" w:color="auto"/>
                    <w:right w:val="none" w:sz="0" w:space="0" w:color="auto"/>
                  </w:divBdr>
                  <w:divsChild>
                    <w:div w:id="560486512">
                      <w:marLeft w:val="0"/>
                      <w:marRight w:val="0"/>
                      <w:marTop w:val="0"/>
                      <w:marBottom w:val="0"/>
                      <w:divBdr>
                        <w:top w:val="none" w:sz="0" w:space="0" w:color="auto"/>
                        <w:left w:val="none" w:sz="0" w:space="0" w:color="auto"/>
                        <w:bottom w:val="none" w:sz="0" w:space="0" w:color="auto"/>
                        <w:right w:val="none" w:sz="0" w:space="0" w:color="auto"/>
                      </w:divBdr>
                      <w:divsChild>
                        <w:div w:id="141310250">
                          <w:marLeft w:val="0"/>
                          <w:marRight w:val="0"/>
                          <w:marTop w:val="45"/>
                          <w:marBottom w:val="0"/>
                          <w:divBdr>
                            <w:top w:val="none" w:sz="0" w:space="0" w:color="auto"/>
                            <w:left w:val="none" w:sz="0" w:space="0" w:color="auto"/>
                            <w:bottom w:val="none" w:sz="0" w:space="0" w:color="auto"/>
                            <w:right w:val="none" w:sz="0" w:space="0" w:color="auto"/>
                          </w:divBdr>
                          <w:divsChild>
                            <w:div w:id="446973200">
                              <w:marLeft w:val="0"/>
                              <w:marRight w:val="0"/>
                              <w:marTop w:val="0"/>
                              <w:marBottom w:val="0"/>
                              <w:divBdr>
                                <w:top w:val="none" w:sz="0" w:space="0" w:color="auto"/>
                                <w:left w:val="none" w:sz="0" w:space="0" w:color="auto"/>
                                <w:bottom w:val="none" w:sz="0" w:space="0" w:color="auto"/>
                                <w:right w:val="none" w:sz="0" w:space="0" w:color="auto"/>
                              </w:divBdr>
                              <w:divsChild>
                                <w:div w:id="1799715129">
                                  <w:marLeft w:val="2070"/>
                                  <w:marRight w:val="3810"/>
                                  <w:marTop w:val="0"/>
                                  <w:marBottom w:val="0"/>
                                  <w:divBdr>
                                    <w:top w:val="none" w:sz="0" w:space="0" w:color="auto"/>
                                    <w:left w:val="none" w:sz="0" w:space="0" w:color="auto"/>
                                    <w:bottom w:val="none" w:sz="0" w:space="0" w:color="auto"/>
                                    <w:right w:val="none" w:sz="0" w:space="0" w:color="auto"/>
                                  </w:divBdr>
                                  <w:divsChild>
                                    <w:div w:id="1964456463">
                                      <w:marLeft w:val="0"/>
                                      <w:marRight w:val="0"/>
                                      <w:marTop w:val="0"/>
                                      <w:marBottom w:val="0"/>
                                      <w:divBdr>
                                        <w:top w:val="none" w:sz="0" w:space="0" w:color="auto"/>
                                        <w:left w:val="none" w:sz="0" w:space="0" w:color="auto"/>
                                        <w:bottom w:val="none" w:sz="0" w:space="0" w:color="auto"/>
                                        <w:right w:val="none" w:sz="0" w:space="0" w:color="auto"/>
                                      </w:divBdr>
                                      <w:divsChild>
                                        <w:div w:id="1583026504">
                                          <w:marLeft w:val="0"/>
                                          <w:marRight w:val="0"/>
                                          <w:marTop w:val="0"/>
                                          <w:marBottom w:val="0"/>
                                          <w:divBdr>
                                            <w:top w:val="none" w:sz="0" w:space="0" w:color="auto"/>
                                            <w:left w:val="none" w:sz="0" w:space="0" w:color="auto"/>
                                            <w:bottom w:val="none" w:sz="0" w:space="0" w:color="auto"/>
                                            <w:right w:val="none" w:sz="0" w:space="0" w:color="auto"/>
                                          </w:divBdr>
                                          <w:divsChild>
                                            <w:div w:id="2074740078">
                                              <w:marLeft w:val="0"/>
                                              <w:marRight w:val="0"/>
                                              <w:marTop w:val="0"/>
                                              <w:marBottom w:val="0"/>
                                              <w:divBdr>
                                                <w:top w:val="none" w:sz="0" w:space="0" w:color="auto"/>
                                                <w:left w:val="none" w:sz="0" w:space="0" w:color="auto"/>
                                                <w:bottom w:val="none" w:sz="0" w:space="0" w:color="auto"/>
                                                <w:right w:val="none" w:sz="0" w:space="0" w:color="auto"/>
                                              </w:divBdr>
                                              <w:divsChild>
                                                <w:div w:id="1820726020">
                                                  <w:marLeft w:val="0"/>
                                                  <w:marRight w:val="0"/>
                                                  <w:marTop w:val="90"/>
                                                  <w:marBottom w:val="0"/>
                                                  <w:divBdr>
                                                    <w:top w:val="none" w:sz="0" w:space="0" w:color="auto"/>
                                                    <w:left w:val="none" w:sz="0" w:space="0" w:color="auto"/>
                                                    <w:bottom w:val="none" w:sz="0" w:space="0" w:color="auto"/>
                                                    <w:right w:val="none" w:sz="0" w:space="0" w:color="auto"/>
                                                  </w:divBdr>
                                                  <w:divsChild>
                                                    <w:div w:id="540674775">
                                                      <w:marLeft w:val="0"/>
                                                      <w:marRight w:val="0"/>
                                                      <w:marTop w:val="0"/>
                                                      <w:marBottom w:val="0"/>
                                                      <w:divBdr>
                                                        <w:top w:val="none" w:sz="0" w:space="0" w:color="auto"/>
                                                        <w:left w:val="none" w:sz="0" w:space="0" w:color="auto"/>
                                                        <w:bottom w:val="none" w:sz="0" w:space="0" w:color="auto"/>
                                                        <w:right w:val="none" w:sz="0" w:space="0" w:color="auto"/>
                                                      </w:divBdr>
                                                      <w:divsChild>
                                                        <w:div w:id="204878275">
                                                          <w:marLeft w:val="0"/>
                                                          <w:marRight w:val="0"/>
                                                          <w:marTop w:val="0"/>
                                                          <w:marBottom w:val="0"/>
                                                          <w:divBdr>
                                                            <w:top w:val="none" w:sz="0" w:space="0" w:color="auto"/>
                                                            <w:left w:val="none" w:sz="0" w:space="0" w:color="auto"/>
                                                            <w:bottom w:val="none" w:sz="0" w:space="0" w:color="auto"/>
                                                            <w:right w:val="none" w:sz="0" w:space="0" w:color="auto"/>
                                                          </w:divBdr>
                                                          <w:divsChild>
                                                            <w:div w:id="1428382921">
                                                              <w:marLeft w:val="0"/>
                                                              <w:marRight w:val="0"/>
                                                              <w:marTop w:val="0"/>
                                                              <w:marBottom w:val="390"/>
                                                              <w:divBdr>
                                                                <w:top w:val="none" w:sz="0" w:space="0" w:color="auto"/>
                                                                <w:left w:val="none" w:sz="0" w:space="0" w:color="auto"/>
                                                                <w:bottom w:val="none" w:sz="0" w:space="0" w:color="auto"/>
                                                                <w:right w:val="none" w:sz="0" w:space="0" w:color="auto"/>
                                                              </w:divBdr>
                                                              <w:divsChild>
                                                                <w:div w:id="191844059">
                                                                  <w:marLeft w:val="0"/>
                                                                  <w:marRight w:val="0"/>
                                                                  <w:marTop w:val="0"/>
                                                                  <w:marBottom w:val="0"/>
                                                                  <w:divBdr>
                                                                    <w:top w:val="none" w:sz="0" w:space="0" w:color="auto"/>
                                                                    <w:left w:val="none" w:sz="0" w:space="0" w:color="auto"/>
                                                                    <w:bottom w:val="none" w:sz="0" w:space="0" w:color="auto"/>
                                                                    <w:right w:val="none" w:sz="0" w:space="0" w:color="auto"/>
                                                                  </w:divBdr>
                                                                  <w:divsChild>
                                                                    <w:div w:id="825515101">
                                                                      <w:marLeft w:val="0"/>
                                                                      <w:marRight w:val="0"/>
                                                                      <w:marTop w:val="0"/>
                                                                      <w:marBottom w:val="0"/>
                                                                      <w:divBdr>
                                                                        <w:top w:val="none" w:sz="0" w:space="0" w:color="auto"/>
                                                                        <w:left w:val="none" w:sz="0" w:space="0" w:color="auto"/>
                                                                        <w:bottom w:val="none" w:sz="0" w:space="0" w:color="auto"/>
                                                                        <w:right w:val="none" w:sz="0" w:space="0" w:color="auto"/>
                                                                      </w:divBdr>
                                                                      <w:divsChild>
                                                                        <w:div w:id="1401055728">
                                                                          <w:marLeft w:val="0"/>
                                                                          <w:marRight w:val="0"/>
                                                                          <w:marTop w:val="0"/>
                                                                          <w:marBottom w:val="0"/>
                                                                          <w:divBdr>
                                                                            <w:top w:val="none" w:sz="0" w:space="0" w:color="auto"/>
                                                                            <w:left w:val="none" w:sz="0" w:space="0" w:color="auto"/>
                                                                            <w:bottom w:val="none" w:sz="0" w:space="0" w:color="auto"/>
                                                                            <w:right w:val="none" w:sz="0" w:space="0" w:color="auto"/>
                                                                          </w:divBdr>
                                                                          <w:divsChild>
                                                                            <w:div w:id="1765106487">
                                                                              <w:marLeft w:val="0"/>
                                                                              <w:marRight w:val="0"/>
                                                                              <w:marTop w:val="0"/>
                                                                              <w:marBottom w:val="0"/>
                                                                              <w:divBdr>
                                                                                <w:top w:val="none" w:sz="0" w:space="0" w:color="auto"/>
                                                                                <w:left w:val="none" w:sz="0" w:space="0" w:color="auto"/>
                                                                                <w:bottom w:val="none" w:sz="0" w:space="0" w:color="auto"/>
                                                                                <w:right w:val="none" w:sz="0" w:space="0" w:color="auto"/>
                                                                              </w:divBdr>
                                                                              <w:divsChild>
                                                                                <w:div w:id="1645546503">
                                                                                  <w:marLeft w:val="0"/>
                                                                                  <w:marRight w:val="0"/>
                                                                                  <w:marTop w:val="0"/>
                                                                                  <w:marBottom w:val="0"/>
                                                                                  <w:divBdr>
                                                                                    <w:top w:val="none" w:sz="0" w:space="0" w:color="auto"/>
                                                                                    <w:left w:val="none" w:sz="0" w:space="0" w:color="auto"/>
                                                                                    <w:bottom w:val="none" w:sz="0" w:space="0" w:color="auto"/>
                                                                                    <w:right w:val="none" w:sz="0" w:space="0" w:color="auto"/>
                                                                                  </w:divBdr>
                                                                                  <w:divsChild>
                                                                                    <w:div w:id="768547994">
                                                                                      <w:marLeft w:val="0"/>
                                                                                      <w:marRight w:val="0"/>
                                                                                      <w:marTop w:val="0"/>
                                                                                      <w:marBottom w:val="0"/>
                                                                                      <w:divBdr>
                                                                                        <w:top w:val="none" w:sz="0" w:space="0" w:color="auto"/>
                                                                                        <w:left w:val="none" w:sz="0" w:space="0" w:color="auto"/>
                                                                                        <w:bottom w:val="none" w:sz="0" w:space="0" w:color="auto"/>
                                                                                        <w:right w:val="none" w:sz="0" w:space="0" w:color="auto"/>
                                                                                      </w:divBdr>
                                                                                      <w:divsChild>
                                                                                        <w:div w:id="1225605082">
                                                                                          <w:marLeft w:val="0"/>
                                                                                          <w:marRight w:val="0"/>
                                                                                          <w:marTop w:val="0"/>
                                                                                          <w:marBottom w:val="0"/>
                                                                                          <w:divBdr>
                                                                                            <w:top w:val="none" w:sz="0" w:space="0" w:color="auto"/>
                                                                                            <w:left w:val="none" w:sz="0" w:space="0" w:color="auto"/>
                                                                                            <w:bottom w:val="none" w:sz="0" w:space="0" w:color="auto"/>
                                                                                            <w:right w:val="none" w:sz="0" w:space="0" w:color="auto"/>
                                                                                          </w:divBdr>
                                                                                          <w:divsChild>
                                                                                            <w:div w:id="114521345">
                                                                                              <w:marLeft w:val="0"/>
                                                                                              <w:marRight w:val="0"/>
                                                                                              <w:marTop w:val="0"/>
                                                                                              <w:marBottom w:val="0"/>
                                                                                              <w:divBdr>
                                                                                                <w:top w:val="none" w:sz="0" w:space="0" w:color="auto"/>
                                                                                                <w:left w:val="none" w:sz="0" w:space="0" w:color="auto"/>
                                                                                                <w:bottom w:val="none" w:sz="0" w:space="0" w:color="auto"/>
                                                                                                <w:right w:val="none" w:sz="0" w:space="0" w:color="auto"/>
                                                                                              </w:divBdr>
                                                                                              <w:divsChild>
                                                                                                <w:div w:id="1095907168">
                                                                                                  <w:marLeft w:val="0"/>
                                                                                                  <w:marRight w:val="0"/>
                                                                                                  <w:marTop w:val="0"/>
                                                                                                  <w:marBottom w:val="0"/>
                                                                                                  <w:divBdr>
                                                                                                    <w:top w:val="none" w:sz="0" w:space="0" w:color="auto"/>
                                                                                                    <w:left w:val="none" w:sz="0" w:space="0" w:color="auto"/>
                                                                                                    <w:bottom w:val="none" w:sz="0" w:space="0" w:color="auto"/>
                                                                                                    <w:right w:val="none" w:sz="0" w:space="0" w:color="auto"/>
                                                                                                  </w:divBdr>
                                                                                                  <w:divsChild>
                                                                                                    <w:div w:id="888152138">
                                                                                                      <w:marLeft w:val="0"/>
                                                                                                      <w:marRight w:val="0"/>
                                                                                                      <w:marTop w:val="0"/>
                                                                                                      <w:marBottom w:val="0"/>
                                                                                                      <w:divBdr>
                                                                                                        <w:top w:val="none" w:sz="0" w:space="0" w:color="auto"/>
                                                                                                        <w:left w:val="none" w:sz="0" w:space="0" w:color="auto"/>
                                                                                                        <w:bottom w:val="none" w:sz="0" w:space="0" w:color="auto"/>
                                                                                                        <w:right w:val="none" w:sz="0" w:space="0" w:color="auto"/>
                                                                                                      </w:divBdr>
                                                                                                      <w:divsChild>
                                                                                                        <w:div w:id="2052875983">
                                                                                                          <w:marLeft w:val="0"/>
                                                                                                          <w:marRight w:val="0"/>
                                                                                                          <w:marTop w:val="0"/>
                                                                                                          <w:marBottom w:val="0"/>
                                                                                                          <w:divBdr>
                                                                                                            <w:top w:val="none" w:sz="0" w:space="0" w:color="auto"/>
                                                                                                            <w:left w:val="none" w:sz="0" w:space="0" w:color="auto"/>
                                                                                                            <w:bottom w:val="none" w:sz="0" w:space="0" w:color="auto"/>
                                                                                                            <w:right w:val="none" w:sz="0" w:space="0" w:color="auto"/>
                                                                                                          </w:divBdr>
                                                                                                          <w:divsChild>
                                                                                                            <w:div w:id="1945070993">
                                                                                                              <w:marLeft w:val="0"/>
                                                                                                              <w:marRight w:val="0"/>
                                                                                                              <w:marTop w:val="0"/>
                                                                                                              <w:marBottom w:val="0"/>
                                                                                                              <w:divBdr>
                                                                                                                <w:top w:val="none" w:sz="0" w:space="0" w:color="auto"/>
                                                                                                                <w:left w:val="none" w:sz="0" w:space="0" w:color="auto"/>
                                                                                                                <w:bottom w:val="none" w:sz="0" w:space="0" w:color="auto"/>
                                                                                                                <w:right w:val="none" w:sz="0" w:space="0" w:color="auto"/>
                                                                                                              </w:divBdr>
                                                                                                              <w:divsChild>
                                                                                                                <w:div w:id="32510193">
                                                                                                                  <w:marLeft w:val="300"/>
                                                                                                                  <w:marRight w:val="0"/>
                                                                                                                  <w:marTop w:val="0"/>
                                                                                                                  <w:marBottom w:val="0"/>
                                                                                                                  <w:divBdr>
                                                                                                                    <w:top w:val="none" w:sz="0" w:space="0" w:color="auto"/>
                                                                                                                    <w:left w:val="none" w:sz="0" w:space="0" w:color="auto"/>
                                                                                                                    <w:bottom w:val="none" w:sz="0" w:space="0" w:color="auto"/>
                                                                                                                    <w:right w:val="none" w:sz="0" w:space="0" w:color="auto"/>
                                                                                                                  </w:divBdr>
                                                                                                                  <w:divsChild>
                                                                                                                    <w:div w:id="1861629382">
                                                                                                                      <w:marLeft w:val="-300"/>
                                                                                                                      <w:marRight w:val="0"/>
                                                                                                                      <w:marTop w:val="0"/>
                                                                                                                      <w:marBottom w:val="0"/>
                                                                                                                      <w:divBdr>
                                                                                                                        <w:top w:val="none" w:sz="0" w:space="0" w:color="auto"/>
                                                                                                                        <w:left w:val="none" w:sz="0" w:space="0" w:color="auto"/>
                                                                                                                        <w:bottom w:val="none" w:sz="0" w:space="0" w:color="auto"/>
                                                                                                                        <w:right w:val="none" w:sz="0" w:space="0" w:color="auto"/>
                                                                                                                      </w:divBdr>
                                                                                                                      <w:divsChild>
                                                                                                                        <w:div w:id="1099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7977">
      <w:bodyDiv w:val="1"/>
      <w:marLeft w:val="0"/>
      <w:marRight w:val="0"/>
      <w:marTop w:val="0"/>
      <w:marBottom w:val="0"/>
      <w:divBdr>
        <w:top w:val="none" w:sz="0" w:space="0" w:color="auto"/>
        <w:left w:val="none" w:sz="0" w:space="0" w:color="auto"/>
        <w:bottom w:val="none" w:sz="0" w:space="0" w:color="auto"/>
        <w:right w:val="none" w:sz="0" w:space="0" w:color="auto"/>
      </w:divBdr>
    </w:div>
    <w:div w:id="1613587973">
      <w:bodyDiv w:val="1"/>
      <w:marLeft w:val="0"/>
      <w:marRight w:val="0"/>
      <w:marTop w:val="0"/>
      <w:marBottom w:val="0"/>
      <w:divBdr>
        <w:top w:val="none" w:sz="0" w:space="0" w:color="auto"/>
        <w:left w:val="none" w:sz="0" w:space="0" w:color="auto"/>
        <w:bottom w:val="none" w:sz="0" w:space="0" w:color="auto"/>
        <w:right w:val="none" w:sz="0" w:space="0" w:color="auto"/>
      </w:divBdr>
    </w:div>
    <w:div w:id="1722095503">
      <w:bodyDiv w:val="1"/>
      <w:marLeft w:val="0"/>
      <w:marRight w:val="0"/>
      <w:marTop w:val="0"/>
      <w:marBottom w:val="0"/>
      <w:divBdr>
        <w:top w:val="none" w:sz="0" w:space="0" w:color="auto"/>
        <w:left w:val="none" w:sz="0" w:space="0" w:color="auto"/>
        <w:bottom w:val="none" w:sz="0" w:space="0" w:color="auto"/>
        <w:right w:val="none" w:sz="0" w:space="0" w:color="auto"/>
      </w:divBdr>
      <w:divsChild>
        <w:div w:id="1918439201">
          <w:marLeft w:val="0"/>
          <w:marRight w:val="0"/>
          <w:marTop w:val="0"/>
          <w:marBottom w:val="0"/>
          <w:divBdr>
            <w:top w:val="none" w:sz="0" w:space="0" w:color="auto"/>
            <w:left w:val="none" w:sz="0" w:space="0" w:color="auto"/>
            <w:bottom w:val="none" w:sz="0" w:space="0" w:color="auto"/>
            <w:right w:val="none" w:sz="0" w:space="0" w:color="auto"/>
          </w:divBdr>
          <w:divsChild>
            <w:div w:id="808985085">
              <w:marLeft w:val="0"/>
              <w:marRight w:val="0"/>
              <w:marTop w:val="720"/>
              <w:marBottom w:val="0"/>
              <w:divBdr>
                <w:top w:val="none" w:sz="0" w:space="0" w:color="auto"/>
                <w:left w:val="none" w:sz="0" w:space="0" w:color="auto"/>
                <w:bottom w:val="none" w:sz="0" w:space="0" w:color="auto"/>
                <w:right w:val="none" w:sz="0" w:space="0" w:color="auto"/>
              </w:divBdr>
              <w:divsChild>
                <w:div w:id="1978338743">
                  <w:marLeft w:val="0"/>
                  <w:marRight w:val="0"/>
                  <w:marTop w:val="0"/>
                  <w:marBottom w:val="0"/>
                  <w:divBdr>
                    <w:top w:val="none" w:sz="0" w:space="0" w:color="auto"/>
                    <w:left w:val="none" w:sz="0" w:space="0" w:color="auto"/>
                    <w:bottom w:val="none" w:sz="0" w:space="0" w:color="auto"/>
                    <w:right w:val="none" w:sz="0" w:space="0" w:color="auto"/>
                  </w:divBdr>
                  <w:divsChild>
                    <w:div w:id="1216429597">
                      <w:marLeft w:val="0"/>
                      <w:marRight w:val="0"/>
                      <w:marTop w:val="0"/>
                      <w:marBottom w:val="0"/>
                      <w:divBdr>
                        <w:top w:val="none" w:sz="0" w:space="0" w:color="auto"/>
                        <w:left w:val="none" w:sz="0" w:space="0" w:color="auto"/>
                        <w:bottom w:val="none" w:sz="0" w:space="0" w:color="auto"/>
                        <w:right w:val="none" w:sz="0" w:space="0" w:color="auto"/>
                      </w:divBdr>
                      <w:divsChild>
                        <w:div w:id="202638195">
                          <w:marLeft w:val="-225"/>
                          <w:marRight w:val="-225"/>
                          <w:marTop w:val="0"/>
                          <w:marBottom w:val="0"/>
                          <w:divBdr>
                            <w:top w:val="none" w:sz="0" w:space="0" w:color="auto"/>
                            <w:left w:val="none" w:sz="0" w:space="0" w:color="auto"/>
                            <w:bottom w:val="none" w:sz="0" w:space="0" w:color="auto"/>
                            <w:right w:val="none" w:sz="0" w:space="0" w:color="auto"/>
                          </w:divBdr>
                          <w:divsChild>
                            <w:div w:id="1325477344">
                              <w:marLeft w:val="0"/>
                              <w:marRight w:val="0"/>
                              <w:marTop w:val="0"/>
                              <w:marBottom w:val="0"/>
                              <w:divBdr>
                                <w:top w:val="none" w:sz="0" w:space="0" w:color="auto"/>
                                <w:left w:val="none" w:sz="0" w:space="0" w:color="auto"/>
                                <w:bottom w:val="none" w:sz="0" w:space="0" w:color="auto"/>
                                <w:right w:val="none" w:sz="0" w:space="0" w:color="auto"/>
                              </w:divBdr>
                              <w:divsChild>
                                <w:div w:id="1193804115">
                                  <w:marLeft w:val="240"/>
                                  <w:marRight w:val="240"/>
                                  <w:marTop w:val="480"/>
                                  <w:marBottom w:val="480"/>
                                  <w:divBdr>
                                    <w:top w:val="none" w:sz="0" w:space="0" w:color="auto"/>
                                    <w:left w:val="none" w:sz="0" w:space="0" w:color="auto"/>
                                    <w:bottom w:val="none" w:sz="0" w:space="0" w:color="auto"/>
                                    <w:right w:val="none" w:sz="0" w:space="0" w:color="auto"/>
                                  </w:divBdr>
                                  <w:divsChild>
                                    <w:div w:id="18073551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ogle.com/url?sa=t&amp;rct=j&amp;q=&amp;esrc=s&amp;source=web&amp;cd=13&amp;ved=0ahUKEwi7n6CZ17rSAhWIRCYKHcXXBqk4ChAWCCUwAg&amp;url=https%3A%2F%2Fdss.sd.gov%2Fdocs%2Fasa%2Fhcbsworkgroup%2Fhcbs_asa_services_presentation.pdf&amp;usg=AFQjCNFO-Rx-UqatH7ioBDSTEjamCZjYZQ&amp;sig2=e4C89UDVeowSDnea6On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A752-240D-4B04-A315-A2CCF761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6901</Words>
  <Characters>39340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ACL8</cp:lastModifiedBy>
  <cp:revision>2</cp:revision>
  <dcterms:created xsi:type="dcterms:W3CDTF">2017-08-04T19:27:00Z</dcterms:created>
  <dcterms:modified xsi:type="dcterms:W3CDTF">2017-08-04T19:27:00Z</dcterms:modified>
</cp:coreProperties>
</file>